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2025年泸西县中医医院口腔科义齿采购项目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bookmarkStart w:id="24" w:name="_GoBack"/>
      <w:bookmarkEnd w:id="24"/>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lxxzyyycg-2025-0101</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62B139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2025年泸西县中医医院口腔科义齿采购项目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lxxzyyycg-2025-0101</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2025年泸西县中医医院口腔科义齿采购项目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90000.00元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对泸西县中医医院</w:t>
      </w:r>
      <w:r>
        <w:rPr>
          <w:rFonts w:hint="eastAsia" w:eastAsia="方正仿宋_GBK" w:cs="Times New Roman"/>
          <w:i w:val="0"/>
          <w:iCs w:val="0"/>
          <w:caps w:val="0"/>
          <w:color w:val="auto"/>
          <w:spacing w:val="0"/>
          <w:sz w:val="31"/>
          <w:szCs w:val="31"/>
          <w:highlight w:val="none"/>
          <w:shd w:val="clear" w:fill="FFFFFF"/>
          <w:lang w:val="en-US" w:eastAsia="zh-CN"/>
        </w:rPr>
        <w:t>口腔科义齿</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进行采购</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09</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0"/>
        <w:gridCol w:w="2557"/>
        <w:gridCol w:w="957"/>
        <w:gridCol w:w="3236"/>
        <w:gridCol w:w="1800"/>
      </w:tblGrid>
      <w:tr w14:paraId="1AB3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810" w:type="dxa"/>
            <w:tcBorders>
              <w:top w:val="single" w:color="000000" w:sz="4" w:space="0"/>
              <w:left w:val="single" w:color="000000" w:sz="4" w:space="0"/>
              <w:bottom w:val="single" w:color="000000" w:sz="4" w:space="0"/>
              <w:right w:val="single" w:color="000000" w:sz="4" w:space="0"/>
            </w:tcBorders>
            <w:shd w:val="clear"/>
            <w:noWrap/>
            <w:vAlign w:val="center"/>
          </w:tcPr>
          <w:p w14:paraId="11C0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序号</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2F62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名称</w:t>
            </w:r>
          </w:p>
        </w:tc>
        <w:tc>
          <w:tcPr>
            <w:tcW w:w="957" w:type="dxa"/>
            <w:tcBorders>
              <w:top w:val="single" w:color="000000" w:sz="4" w:space="0"/>
              <w:left w:val="single" w:color="000000" w:sz="4" w:space="0"/>
              <w:bottom w:val="single" w:color="000000" w:sz="4" w:space="0"/>
              <w:right w:val="single" w:color="000000" w:sz="4" w:space="0"/>
            </w:tcBorders>
            <w:shd w:val="clear"/>
            <w:noWrap/>
            <w:vAlign w:val="center"/>
          </w:tcPr>
          <w:p w14:paraId="67778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单位</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7FCA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规格</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14:paraId="41EDC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最高限价（元）</w:t>
            </w:r>
          </w:p>
        </w:tc>
      </w:tr>
      <w:tr w14:paraId="0AA3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2B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130F2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0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20B69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爱尔创全瓷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00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120.00 </w:t>
            </w:r>
          </w:p>
        </w:tc>
      </w:tr>
      <w:tr w14:paraId="4310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C1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4A2E0B95">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B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31CE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拜耳牙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E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10.00 </w:t>
            </w:r>
          </w:p>
        </w:tc>
      </w:tr>
      <w:tr w14:paraId="2F26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A5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22E2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29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4E0A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不碎胶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9E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120.00 </w:t>
            </w:r>
          </w:p>
        </w:tc>
      </w:tr>
      <w:tr w14:paraId="1230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19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4</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3A9B10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F8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A528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纯钛大钢托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B0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450.00 </w:t>
            </w:r>
          </w:p>
        </w:tc>
      </w:tr>
      <w:tr w14:paraId="18FD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00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5</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01613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57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7A7DD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80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90.00 </w:t>
            </w:r>
          </w:p>
        </w:tc>
      </w:tr>
      <w:tr w14:paraId="37DA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0F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6</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29BFD5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7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31AD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高弹钴铬支架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9B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150.00 </w:t>
            </w:r>
          </w:p>
        </w:tc>
      </w:tr>
      <w:tr w14:paraId="0E45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DA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7</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403726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定制式固定义齿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C4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653F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钴铬烤瓷</w:t>
            </w:r>
          </w:p>
        </w:tc>
        <w:tc>
          <w:tcPr>
            <w:tcW w:w="0" w:type="auto"/>
            <w:tcBorders>
              <w:top w:val="single" w:color="000000" w:sz="4" w:space="0"/>
              <w:left w:val="nil"/>
              <w:bottom w:val="single" w:color="000000" w:sz="4" w:space="0"/>
              <w:right w:val="single" w:color="000000" w:sz="4" w:space="0"/>
            </w:tcBorders>
            <w:shd w:val="clear"/>
            <w:noWrap/>
            <w:vAlign w:val="center"/>
          </w:tcPr>
          <w:p w14:paraId="3E8DC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88.00 </w:t>
            </w:r>
          </w:p>
        </w:tc>
      </w:tr>
      <w:tr w14:paraId="52C6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8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8</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290A8F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FA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365A9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加网、加杆</w:t>
            </w:r>
          </w:p>
        </w:tc>
        <w:tc>
          <w:tcPr>
            <w:tcW w:w="0" w:type="auto"/>
            <w:tcBorders>
              <w:top w:val="single" w:color="000000" w:sz="4" w:space="0"/>
              <w:left w:val="nil"/>
              <w:bottom w:val="single" w:color="000000" w:sz="4" w:space="0"/>
              <w:right w:val="single" w:color="000000" w:sz="4" w:space="0"/>
            </w:tcBorders>
            <w:shd w:val="clear"/>
            <w:noWrap/>
            <w:vAlign w:val="center"/>
          </w:tcPr>
          <w:p w14:paraId="7655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20.00 </w:t>
            </w:r>
          </w:p>
        </w:tc>
      </w:tr>
      <w:tr w14:paraId="2847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B4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9</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76D088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547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793C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加牙</w:t>
            </w:r>
          </w:p>
        </w:tc>
        <w:tc>
          <w:tcPr>
            <w:tcW w:w="0" w:type="auto"/>
            <w:tcBorders>
              <w:top w:val="single" w:color="000000" w:sz="4" w:space="0"/>
              <w:left w:val="nil"/>
              <w:bottom w:val="single" w:color="000000" w:sz="4" w:space="0"/>
              <w:right w:val="single" w:color="000000" w:sz="4" w:space="0"/>
            </w:tcBorders>
            <w:shd w:val="clear"/>
            <w:noWrap/>
            <w:vAlign w:val="center"/>
          </w:tcPr>
          <w:p w14:paraId="7D119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11.00 </w:t>
            </w:r>
          </w:p>
        </w:tc>
      </w:tr>
      <w:tr w14:paraId="1520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2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10</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67BD8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D9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C41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间隙保持器</w:t>
            </w:r>
          </w:p>
        </w:tc>
        <w:tc>
          <w:tcPr>
            <w:tcW w:w="0" w:type="auto"/>
            <w:tcBorders>
              <w:top w:val="single" w:color="000000" w:sz="4" w:space="0"/>
              <w:left w:val="nil"/>
              <w:bottom w:val="single" w:color="000000" w:sz="4" w:space="0"/>
              <w:right w:val="single" w:color="000000" w:sz="4" w:space="0"/>
            </w:tcBorders>
            <w:shd w:val="clear"/>
            <w:noWrap/>
            <w:vAlign w:val="center"/>
          </w:tcPr>
          <w:p w14:paraId="46F81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108.00 </w:t>
            </w:r>
          </w:p>
        </w:tc>
      </w:tr>
      <w:tr w14:paraId="5E2F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A4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11</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718D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5C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12F6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胶托（局部）</w:t>
            </w:r>
          </w:p>
        </w:tc>
        <w:tc>
          <w:tcPr>
            <w:tcW w:w="0" w:type="auto"/>
            <w:tcBorders>
              <w:top w:val="single" w:color="000000" w:sz="4" w:space="0"/>
              <w:left w:val="nil"/>
              <w:bottom w:val="single" w:color="000000" w:sz="4" w:space="0"/>
              <w:right w:val="single" w:color="000000" w:sz="4" w:space="0"/>
            </w:tcBorders>
            <w:shd w:val="clear"/>
            <w:noWrap/>
            <w:vAlign w:val="center"/>
          </w:tcPr>
          <w:p w14:paraId="70353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12.00 </w:t>
            </w:r>
          </w:p>
        </w:tc>
      </w:tr>
      <w:tr w14:paraId="4F65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49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12</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FC337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31B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5E49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进口钴铬大钢托</w:t>
            </w:r>
          </w:p>
        </w:tc>
        <w:tc>
          <w:tcPr>
            <w:tcW w:w="0" w:type="auto"/>
            <w:tcBorders>
              <w:top w:val="single" w:color="000000" w:sz="4" w:space="0"/>
              <w:left w:val="nil"/>
              <w:bottom w:val="single" w:color="000000" w:sz="4" w:space="0"/>
              <w:right w:val="single" w:color="000000" w:sz="4" w:space="0"/>
            </w:tcBorders>
            <w:shd w:val="clear"/>
            <w:noWrap/>
            <w:vAlign w:val="center"/>
          </w:tcPr>
          <w:p w14:paraId="680A9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128.00 </w:t>
            </w:r>
          </w:p>
        </w:tc>
      </w:tr>
      <w:tr w14:paraId="14F9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E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13</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361875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95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7A1A6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凯丰牙</w:t>
            </w:r>
          </w:p>
        </w:tc>
        <w:tc>
          <w:tcPr>
            <w:tcW w:w="0" w:type="auto"/>
            <w:tcBorders>
              <w:top w:val="single" w:color="000000" w:sz="4" w:space="0"/>
              <w:left w:val="nil"/>
              <w:bottom w:val="single" w:color="000000" w:sz="4" w:space="0"/>
              <w:right w:val="single" w:color="000000" w:sz="4" w:space="0"/>
            </w:tcBorders>
            <w:shd w:val="clear"/>
            <w:noWrap/>
            <w:vAlign w:val="center"/>
          </w:tcPr>
          <w:p w14:paraId="65D77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10.00 </w:t>
            </w:r>
          </w:p>
        </w:tc>
      </w:tr>
      <w:tr w14:paraId="2E7C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66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14</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0036D0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6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5B1A4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山八塑钢牙</w:t>
            </w:r>
          </w:p>
        </w:tc>
        <w:tc>
          <w:tcPr>
            <w:tcW w:w="0" w:type="auto"/>
            <w:tcBorders>
              <w:top w:val="single" w:color="000000" w:sz="4" w:space="0"/>
              <w:left w:val="nil"/>
              <w:bottom w:val="single" w:color="000000" w:sz="4" w:space="0"/>
              <w:right w:val="single" w:color="000000" w:sz="4" w:space="0"/>
            </w:tcBorders>
            <w:shd w:val="clear"/>
            <w:noWrap/>
            <w:vAlign w:val="center"/>
          </w:tcPr>
          <w:p w14:paraId="2139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20.00 </w:t>
            </w:r>
          </w:p>
        </w:tc>
      </w:tr>
      <w:tr w14:paraId="096F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7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15</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B865A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D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1B4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透明保持器</w:t>
            </w:r>
          </w:p>
        </w:tc>
        <w:tc>
          <w:tcPr>
            <w:tcW w:w="0" w:type="auto"/>
            <w:tcBorders>
              <w:top w:val="single" w:color="000000" w:sz="4" w:space="0"/>
              <w:left w:val="nil"/>
              <w:bottom w:val="single" w:color="000000" w:sz="4" w:space="0"/>
              <w:right w:val="single" w:color="000000" w:sz="4" w:space="0"/>
            </w:tcBorders>
            <w:shd w:val="clear"/>
            <w:noWrap/>
            <w:vAlign w:val="center"/>
          </w:tcPr>
          <w:p w14:paraId="6914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50.00 </w:t>
            </w:r>
          </w:p>
        </w:tc>
      </w:tr>
      <w:tr w14:paraId="7090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B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16</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C696B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1A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2B380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小钢托</w:t>
            </w:r>
          </w:p>
        </w:tc>
        <w:tc>
          <w:tcPr>
            <w:tcW w:w="0" w:type="auto"/>
            <w:tcBorders>
              <w:top w:val="single" w:color="000000" w:sz="4" w:space="0"/>
              <w:left w:val="nil"/>
              <w:bottom w:val="single" w:color="000000" w:sz="4" w:space="0"/>
              <w:right w:val="single" w:color="000000" w:sz="4" w:space="0"/>
            </w:tcBorders>
            <w:shd w:val="clear"/>
            <w:noWrap/>
            <w:vAlign w:val="center"/>
          </w:tcPr>
          <w:p w14:paraId="23154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55.00 </w:t>
            </w:r>
          </w:p>
        </w:tc>
      </w:tr>
      <w:tr w14:paraId="5A6E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DD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17</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03C313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2E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DD59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隐形牙</w:t>
            </w:r>
          </w:p>
        </w:tc>
        <w:tc>
          <w:tcPr>
            <w:tcW w:w="0" w:type="auto"/>
            <w:tcBorders>
              <w:top w:val="single" w:color="000000" w:sz="4" w:space="0"/>
              <w:left w:val="nil"/>
              <w:bottom w:val="single" w:color="000000" w:sz="4" w:space="0"/>
              <w:right w:val="single" w:color="000000" w:sz="4" w:space="0"/>
            </w:tcBorders>
            <w:shd w:val="clear"/>
            <w:noWrap/>
            <w:vAlign w:val="center"/>
          </w:tcPr>
          <w:p w14:paraId="2D908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11.00 </w:t>
            </w:r>
          </w:p>
        </w:tc>
      </w:tr>
      <w:tr w14:paraId="0F3D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757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18</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5E4B3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86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7E981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隐形义齿</w:t>
            </w:r>
          </w:p>
        </w:tc>
        <w:tc>
          <w:tcPr>
            <w:tcW w:w="0" w:type="auto"/>
            <w:tcBorders>
              <w:top w:val="single" w:color="000000" w:sz="4" w:space="0"/>
              <w:left w:val="nil"/>
              <w:bottom w:val="single" w:color="000000" w:sz="4" w:space="0"/>
              <w:right w:val="single" w:color="000000" w:sz="4" w:space="0"/>
            </w:tcBorders>
            <w:shd w:val="clear"/>
            <w:noWrap/>
            <w:vAlign w:val="center"/>
          </w:tcPr>
          <w:p w14:paraId="69C7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88.00 </w:t>
            </w:r>
          </w:p>
        </w:tc>
      </w:tr>
      <w:tr w14:paraId="6420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8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19</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2AB32A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snapToGrid/>
                <w:color w:val="000000"/>
                <w:kern w:val="0"/>
                <w:sz w:val="20"/>
                <w:szCs w:val="20"/>
                <w:u w:val="none"/>
                <w:bdr w:val="none" w:color="auto" w:sz="0" w:space="0"/>
                <w:lang w:val="en-US" w:eastAsia="zh-CN" w:bidi="ar"/>
              </w:rPr>
              <w:t>定制式活动义齿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F2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54E05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铸造带环</w:t>
            </w:r>
          </w:p>
        </w:tc>
        <w:tc>
          <w:tcPr>
            <w:tcW w:w="0" w:type="auto"/>
            <w:tcBorders>
              <w:top w:val="single" w:color="000000" w:sz="4" w:space="0"/>
              <w:left w:val="nil"/>
              <w:bottom w:val="single" w:color="000000" w:sz="4" w:space="0"/>
              <w:right w:val="single" w:color="000000" w:sz="4" w:space="0"/>
            </w:tcBorders>
            <w:shd w:val="clear"/>
            <w:noWrap/>
            <w:vAlign w:val="center"/>
          </w:tcPr>
          <w:p w14:paraId="6135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20.00 </w:t>
            </w:r>
          </w:p>
        </w:tc>
      </w:tr>
      <w:tr w14:paraId="3FA3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6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20</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2D45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排拜耳牙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9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C7DF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28A96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10.00 </w:t>
            </w:r>
          </w:p>
        </w:tc>
      </w:tr>
      <w:tr w14:paraId="5650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EE2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21</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3853A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6C1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副</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6900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27C8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90.00 </w:t>
            </w:r>
          </w:p>
        </w:tc>
      </w:tr>
      <w:tr w14:paraId="32D6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C3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22</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24AF3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钴铬烤瓷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37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副</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1FB9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495C1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88.00 </w:t>
            </w:r>
          </w:p>
        </w:tc>
      </w:tr>
      <w:tr w14:paraId="3571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AE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23</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1A239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松风塑钢牙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F7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F70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BFA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25.00 </w:t>
            </w:r>
          </w:p>
        </w:tc>
      </w:tr>
      <w:tr w14:paraId="33E3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68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24</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7C8A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山八塑钢牙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69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ECF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3D6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20.00 </w:t>
            </w:r>
          </w:p>
        </w:tc>
      </w:tr>
      <w:tr w14:paraId="74ED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51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25</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3A08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纯钛大钢托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7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4429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3480E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458.00 </w:t>
            </w:r>
          </w:p>
        </w:tc>
      </w:tr>
      <w:tr w14:paraId="276D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7D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26</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5131D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无铍烤瓷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EB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B15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52177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55.00 </w:t>
            </w:r>
          </w:p>
        </w:tc>
      </w:tr>
      <w:tr w14:paraId="3E84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31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27</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469EE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爱尔创全瓷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23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7E34E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0" w:type="auto"/>
            <w:tcBorders>
              <w:top w:val="single" w:color="000000" w:sz="4" w:space="0"/>
              <w:left w:val="nil"/>
              <w:bottom w:val="single" w:color="000000" w:sz="4" w:space="0"/>
              <w:right w:val="single" w:color="000000" w:sz="4" w:space="0"/>
            </w:tcBorders>
            <w:shd w:val="clear"/>
            <w:noWrap/>
            <w:vAlign w:val="center"/>
          </w:tcPr>
          <w:p w14:paraId="49293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130.00 </w:t>
            </w:r>
          </w:p>
        </w:tc>
      </w:tr>
      <w:tr w14:paraId="6C3C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90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28</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334A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钛合金烤瓷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02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CF9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43CD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80.00 </w:t>
            </w:r>
          </w:p>
        </w:tc>
      </w:tr>
      <w:tr w14:paraId="6DE7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E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29</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096CF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小钢托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0A3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副</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4D827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194E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55.00 </w:t>
            </w:r>
          </w:p>
        </w:tc>
      </w:tr>
      <w:tr w14:paraId="1BED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60F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30</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7B87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氧化锆全锆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4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0B28B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6A52A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120.00 </w:t>
            </w:r>
          </w:p>
        </w:tc>
      </w:tr>
      <w:tr w14:paraId="6F9A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48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31</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0032EA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33"/>
                <w:rFonts w:eastAsia="宋体"/>
                <w:bdr w:val="none" w:color="auto" w:sz="0" w:space="0"/>
                <w:lang w:val="en-US" w:eastAsia="zh-CN" w:bidi="ar"/>
              </w:rPr>
              <w:t>BEGO</w:t>
            </w:r>
            <w:r>
              <w:rPr>
                <w:rStyle w:val="34"/>
                <w:bdr w:val="none" w:color="auto" w:sz="0" w:space="0"/>
                <w:lang w:val="en-US" w:eastAsia="zh-CN" w:bidi="ar"/>
              </w:rPr>
              <w:t>数码</w:t>
            </w:r>
            <w:r>
              <w:rPr>
                <w:rStyle w:val="33"/>
                <w:rFonts w:eastAsia="宋体"/>
                <w:bdr w:val="none" w:color="auto" w:sz="0" w:space="0"/>
                <w:lang w:val="en-US" w:eastAsia="zh-CN" w:bidi="ar"/>
              </w:rPr>
              <w:t>3D</w:t>
            </w:r>
            <w:r>
              <w:rPr>
                <w:rStyle w:val="34"/>
                <w:bdr w:val="none" w:color="auto" w:sz="0" w:space="0"/>
                <w:lang w:val="en-US" w:eastAsia="zh-CN" w:bidi="ar"/>
              </w:rPr>
              <w:t>钴铬烤瓷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1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1D75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38D96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100.00 </w:t>
            </w:r>
          </w:p>
        </w:tc>
      </w:tr>
      <w:tr w14:paraId="05AD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4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32</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43BCC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高弹钴铬支架动义齿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EF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个</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3E6A7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5D268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130.00 </w:t>
            </w:r>
          </w:p>
        </w:tc>
      </w:tr>
      <w:tr w14:paraId="768E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5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33</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08B2C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进口钴铬小钢托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FB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个</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170E6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3F3AC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60.00 </w:t>
            </w:r>
          </w:p>
        </w:tc>
      </w:tr>
      <w:tr w14:paraId="1666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9F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34</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28108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进口钴铬大钢托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74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个</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47F86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5387E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120.00 </w:t>
            </w:r>
          </w:p>
        </w:tc>
      </w:tr>
      <w:tr w14:paraId="72BD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D4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35</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2F3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34"/>
                <w:bdr w:val="none" w:color="auto" w:sz="0" w:space="0"/>
                <w:lang w:val="en-US" w:eastAsia="zh-CN" w:bidi="ar"/>
              </w:rPr>
              <w:t>维他灵</w:t>
            </w:r>
            <w:r>
              <w:rPr>
                <w:rStyle w:val="33"/>
                <w:rFonts w:eastAsia="宋体"/>
                <w:bdr w:val="none" w:color="auto" w:sz="0" w:space="0"/>
                <w:lang w:val="en-US" w:eastAsia="zh-CN" w:bidi="ar"/>
              </w:rPr>
              <w:t>2000</w:t>
            </w:r>
            <w:r>
              <w:rPr>
                <w:rStyle w:val="34"/>
                <w:bdr w:val="none" w:color="auto" w:sz="0" w:space="0"/>
                <w:lang w:val="en-US" w:eastAsia="zh-CN" w:bidi="ar"/>
              </w:rPr>
              <w:t>加大钢托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80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个</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697F9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7C1B4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450.00 </w:t>
            </w:r>
          </w:p>
        </w:tc>
      </w:tr>
      <w:tr w14:paraId="2344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15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36</w:t>
            </w:r>
          </w:p>
        </w:tc>
        <w:tc>
          <w:tcPr>
            <w:tcW w:w="2561" w:type="dxa"/>
            <w:tcBorders>
              <w:top w:val="single" w:color="000000" w:sz="4" w:space="0"/>
              <w:left w:val="single" w:color="000000" w:sz="4" w:space="0"/>
              <w:bottom w:val="single" w:color="000000" w:sz="4" w:space="0"/>
              <w:right w:val="single" w:color="000000" w:sz="4" w:space="0"/>
            </w:tcBorders>
            <w:shd w:val="clear"/>
            <w:vAlign w:val="center"/>
          </w:tcPr>
          <w:p w14:paraId="648E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隐形牙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2E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颗</w:t>
            </w:r>
          </w:p>
        </w:tc>
        <w:tc>
          <w:tcPr>
            <w:tcW w:w="3242" w:type="dxa"/>
            <w:tcBorders>
              <w:top w:val="single" w:color="000000" w:sz="4" w:space="0"/>
              <w:left w:val="single" w:color="000000" w:sz="4" w:space="0"/>
              <w:bottom w:val="single" w:color="000000" w:sz="4" w:space="0"/>
              <w:right w:val="single" w:color="000000" w:sz="4" w:space="0"/>
            </w:tcBorders>
            <w:shd w:val="clear"/>
            <w:vAlign w:val="center"/>
          </w:tcPr>
          <w:p w14:paraId="5C5F9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w:t>
            </w:r>
          </w:p>
        </w:tc>
        <w:tc>
          <w:tcPr>
            <w:tcW w:w="0" w:type="auto"/>
            <w:tcBorders>
              <w:top w:val="single" w:color="000000" w:sz="4" w:space="0"/>
              <w:left w:val="nil"/>
              <w:bottom w:val="single" w:color="000000" w:sz="4" w:space="0"/>
              <w:right w:val="single" w:color="000000" w:sz="4" w:space="0"/>
            </w:tcBorders>
            <w:shd w:val="clear"/>
            <w:noWrap/>
            <w:vAlign w:val="center"/>
          </w:tcPr>
          <w:p w14:paraId="47BDA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color w:val="000000"/>
                <w:kern w:val="0"/>
                <w:sz w:val="22"/>
                <w:szCs w:val="22"/>
                <w:u w:val="none"/>
                <w:bdr w:val="none" w:color="auto" w:sz="0" w:space="0"/>
                <w:lang w:val="en-US" w:eastAsia="zh-CN" w:bidi="ar"/>
              </w:rPr>
              <w:t xml:space="preserve">11.00 </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申请人</w:t>
      </w:r>
      <w:r>
        <w:rPr>
          <w:rFonts w:hint="eastAsia" w:asciiTheme="minorEastAsia" w:hAnsiTheme="minorEastAsia" w:eastAsiaTheme="minorEastAsia" w:cstheme="minorEastAsia"/>
          <w:caps w:val="0"/>
          <w:color w:val="auto"/>
          <w:spacing w:val="0"/>
          <w:kern w:val="0"/>
          <w:sz w:val="21"/>
          <w:szCs w:val="21"/>
        </w:rPr>
        <w:t>可选用实质上“相当于”或“优于”该参考技术规格要求的产品</w:t>
      </w:r>
      <w:r>
        <w:rPr>
          <w:rFonts w:hint="eastAsia" w:asciiTheme="minorEastAsia" w:hAnsiTheme="minorEastAsia" w:eastAsiaTheme="minorEastAsia" w:cstheme="minorEastAsia"/>
          <w:caps w:val="0"/>
          <w:color w:val="auto"/>
          <w:spacing w:val="0"/>
          <w:kern w:val="0"/>
          <w:sz w:val="21"/>
          <w:szCs w:val="21"/>
          <w:lang w:eastAsia="zh-CN"/>
        </w:rPr>
        <w:t>参与本次投标。</w:t>
      </w:r>
    </w:p>
    <w:p w14:paraId="19C661C1">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本次采购无法准确估算合同履行过程中实际所需货品数量，预算金额为预估价，仅作参考，不作为签订合同依据。</w:t>
      </w:r>
    </w:p>
    <w:p w14:paraId="474D60C8">
      <w:pPr>
        <w:keepNext w:val="0"/>
        <w:keepLines w:val="0"/>
        <w:pageBreakBefore w:val="0"/>
        <w:numPr>
          <w:ilvl w:val="0"/>
          <w:numId w:val="3"/>
        </w:numPr>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采购清单以外属于本次采购范围的，由采购人进行市场调研后确定市场价，按照市场价×中标下浮率作为结算价。最终以实际的供应数量及结算金额为准。</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r>
        <w:rPr>
          <w:rFonts w:hint="eastAsia" w:asciiTheme="minorEastAsia" w:hAnsiTheme="minorEastAsia" w:eastAsiaTheme="minorEastAsia" w:cstheme="minorEastAsia"/>
          <w:caps w:val="0"/>
          <w:color w:val="auto"/>
          <w:spacing w:val="0"/>
          <w:kern w:val="0"/>
          <w:sz w:val="21"/>
          <w:szCs w:val="21"/>
        </w:rPr>
        <w:t>。</w:t>
      </w: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符合采购文件要求</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5485_WPSOffice_Level3"/>
      <w:bookmarkStart w:id="1" w:name="_Toc28316_WPSOffice_Level3"/>
      <w:bookmarkStart w:id="2" w:name="_Toc28795_WPSOffice_Level3"/>
      <w:bookmarkStart w:id="3" w:name="_Toc10849"/>
      <w:bookmarkStart w:id="4" w:name="_Toc2494_WPSOffice_Level3"/>
      <w:bookmarkStart w:id="5" w:name="_Toc25522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w:t>
      </w:r>
      <w:r>
        <w:rPr>
          <w:rFonts w:hint="default" w:ascii="Times New Roman" w:hAnsi="Times New Roman" w:eastAsia="方正仿宋_GBK" w:cs="Times New Roman"/>
          <w:bCs/>
          <w:color w:val="auto"/>
          <w:sz w:val="32"/>
          <w:szCs w:val="32"/>
          <w:highlight w:val="none"/>
          <w:lang w:eastAsia="zh-CN"/>
        </w:rPr>
        <w:t>的投标报价进行评审，以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14249"/>
      <w:bookmarkStart w:id="10" w:name="_Toc471"/>
      <w:bookmarkStart w:id="11" w:name="_Toc26092"/>
      <w:bookmarkStart w:id="12" w:name="_Toc9916"/>
      <w:bookmarkStart w:id="13" w:name="_Toc11043_WPSOffice_Level1"/>
      <w:bookmarkStart w:id="14" w:name="_Toc15113"/>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按照采购清单的最高限价均下浮___%</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411"/>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注：按照本文件第二章“采购需求”中所列产品按顺序填报，其中，所报单价为下浮后的单价报价，不得缺项漏项或任意合并项目报价。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7312"/>
      <w:bookmarkStart w:id="22" w:name="_Toc14552"/>
      <w:bookmarkStart w:id="23" w:name="_Toc1891"/>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527406EF">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2"/>
        <w:keepNext w:val="0"/>
        <w:keepLines w:val="0"/>
        <w:pageBreakBefore w:val="0"/>
        <w:widowControl w:val="0"/>
        <w:numPr>
          <w:ilvl w:val="0"/>
          <w:numId w:val="8"/>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uiPriority w:val="0"/>
    <w:rPr>
      <w:rFonts w:hint="default" w:ascii="Arial" w:hAnsi="Arial" w:cs="Arial"/>
      <w:color w:val="000000"/>
      <w:sz w:val="20"/>
      <w:szCs w:val="20"/>
      <w:u w:val="none"/>
    </w:rPr>
  </w:style>
  <w:style w:type="character" w:customStyle="1" w:styleId="34">
    <w:name w:val="font21"/>
    <w:basedOn w:val="1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4232</Words>
  <Characters>4620</Characters>
  <Lines>15</Lines>
  <Paragraphs>4</Paragraphs>
  <TotalTime>13</TotalTime>
  <ScaleCrop>false</ScaleCrop>
  <LinksUpToDate>false</LinksUpToDate>
  <CharactersWithSpaces>5157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2025-01-02T08:36:02Z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