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2024年泸西县中医医院医疗设备消耗性功能附件采购项目</w:t>
      </w:r>
    </w:p>
    <w:p>
      <w:pPr>
        <w:shd w:val="clear"/>
        <w:rPr>
          <w:rFonts w:hint="default" w:ascii="Times New Roman" w:hAnsi="Times New Roman" w:cs="Times New Roman"/>
          <w:b w:val="0"/>
          <w:bCs/>
          <w:color w:val="auto"/>
          <w:highlight w:val="none"/>
          <w:lang w:eastAsia="zh-CN"/>
        </w:rPr>
      </w:pPr>
      <w:bookmarkStart w:id="24" w:name="_GoBack"/>
      <w:bookmarkEnd w:id="24"/>
    </w:p>
    <w:p>
      <w:pPr>
        <w:shd w:val="clear"/>
        <w:rPr>
          <w:rFonts w:hint="default" w:ascii="Times New Roman" w:hAnsi="Times New Roman" w:cs="Times New Roman"/>
          <w:b w:val="0"/>
          <w:bCs/>
          <w:color w:val="auto"/>
          <w:highlight w:val="none"/>
          <w:lang w:eastAsia="zh-CN"/>
        </w:rPr>
      </w:pPr>
    </w:p>
    <w:p>
      <w:pPr>
        <w:pStyle w:val="2"/>
        <w:shd w:val="clear"/>
        <w:outlineLvl w:val="9"/>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lxxzyyycg-2024-0605</w:t>
      </w:r>
    </w:p>
    <w:p>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pPr>
        <w:pStyle w:val="3"/>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6"/>
          <w:rFonts w:hint="eastAsia" w:eastAsia="方正小标宋_GBK" w:cs="Times New Roman"/>
          <w:b w:val="0"/>
          <w:bCs/>
          <w:i w:val="0"/>
          <w:iCs w:val="0"/>
          <w:caps w:val="0"/>
          <w:color w:val="auto"/>
          <w:spacing w:val="0"/>
          <w:sz w:val="40"/>
          <w:szCs w:val="40"/>
          <w:highlight w:val="none"/>
          <w:shd w:val="clear" w:fill="FFFFFF"/>
          <w:lang w:eastAsia="zh-CN"/>
        </w:rPr>
        <w:t>2024年泸西县中医医院医疗设备消耗性功能附件采购项目</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lxxzyyycg-2024-0605</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2024年泸西县中医医院医疗设备消耗性功能附件采购项目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19800.00元。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eastAsia" w:eastAsia="方正仿宋_GBK" w:cs="Times New Roman"/>
          <w:i w:val="0"/>
          <w:iCs w:val="0"/>
          <w:caps w:val="0"/>
          <w:color w:val="auto"/>
          <w:spacing w:val="0"/>
          <w:sz w:val="31"/>
          <w:szCs w:val="31"/>
          <w:highlight w:val="none"/>
          <w:shd w:val="clear" w:fill="FFFFFF"/>
          <w:lang w:eastAsia="zh-CN"/>
        </w:rPr>
        <w:t>采购</w:t>
      </w:r>
      <w:r>
        <w:rPr>
          <w:rFonts w:hint="eastAsia" w:eastAsia="方正仿宋_GBK" w:cs="Times New Roman"/>
          <w:i w:val="0"/>
          <w:iCs w:val="0"/>
          <w:caps w:val="0"/>
          <w:color w:val="auto"/>
          <w:spacing w:val="0"/>
          <w:sz w:val="31"/>
          <w:szCs w:val="31"/>
          <w:highlight w:val="none"/>
          <w:shd w:val="clear" w:fill="FFFFFF"/>
          <w:lang w:val="en-US" w:eastAsia="zh-CN"/>
        </w:rPr>
        <w:t>PB840呼吸机氧电池传感器1个、泽普ZEPU-C2体外冲击波治疗仪的传导子和传导管2套。</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合同履行期限：自合同签订之日起至质保期结束之日止；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健全的财务会计制度：提供2021年</w:t>
      </w:r>
      <w:r>
        <w:rPr>
          <w:rFonts w:hint="eastAsia" w:eastAsia="方正仿宋_GBK" w:cs="Times New Roman"/>
          <w:snapToGrid/>
          <w:color w:val="auto"/>
          <w:kern w:val="0"/>
          <w:sz w:val="32"/>
          <w:szCs w:val="32"/>
          <w:highlight w:val="none"/>
          <w:lang w:val="en-US" w:eastAsia="zh-CN" w:bidi="ar-SA"/>
        </w:rPr>
        <w:t>-</w:t>
      </w:r>
      <w:r>
        <w:rPr>
          <w:rFonts w:hint="default" w:ascii="Times New Roman" w:hAnsi="Times New Roman" w:eastAsia="方正仿宋_GBK" w:cs="Times New Roman"/>
          <w:snapToGrid/>
          <w:color w:val="auto"/>
          <w:kern w:val="0"/>
          <w:sz w:val="32"/>
          <w:szCs w:val="32"/>
          <w:highlight w:val="none"/>
          <w:lang w:val="en-US" w:eastAsia="zh-CN" w:bidi="ar-SA"/>
        </w:rPr>
        <w:t>2023年任意</w:t>
      </w:r>
      <w:r>
        <w:rPr>
          <w:rFonts w:hint="eastAsia" w:eastAsia="方正仿宋_GBK" w:cs="Times New Roman"/>
          <w:snapToGrid/>
          <w:color w:val="auto"/>
          <w:kern w:val="0"/>
          <w:sz w:val="32"/>
          <w:szCs w:val="32"/>
          <w:highlight w:val="none"/>
          <w:lang w:val="en-US" w:eastAsia="zh-CN" w:bidi="ar-SA"/>
        </w:rPr>
        <w:t>年度</w:t>
      </w:r>
      <w:r>
        <w:rPr>
          <w:rFonts w:hint="default" w:ascii="Times New Roman" w:hAnsi="Times New Roman" w:eastAsia="方正仿宋_GBK" w:cs="Times New Roman"/>
          <w:snapToGrid/>
          <w:color w:val="auto"/>
          <w:kern w:val="0"/>
          <w:sz w:val="32"/>
          <w:szCs w:val="32"/>
          <w:highlight w:val="none"/>
          <w:lang w:val="en-US" w:eastAsia="zh-CN" w:bidi="ar-SA"/>
        </w:rPr>
        <w:t>的财务报告及财务报表（包括资产负债表、现金流量表和利润表），如果是</w:t>
      </w:r>
      <w:r>
        <w:rPr>
          <w:rFonts w:hint="eastAsia" w:eastAsia="方正仿宋_GBK" w:cs="Times New Roman"/>
          <w:snapToGrid/>
          <w:color w:val="auto"/>
          <w:kern w:val="0"/>
          <w:sz w:val="32"/>
          <w:szCs w:val="32"/>
          <w:highlight w:val="none"/>
          <w:lang w:val="en-US" w:eastAsia="zh-CN" w:bidi="ar-SA"/>
        </w:rPr>
        <w:t>2024年</w:t>
      </w:r>
      <w:r>
        <w:rPr>
          <w:rFonts w:hint="default" w:ascii="Times New Roman" w:hAnsi="Times New Roman" w:eastAsia="方正仿宋_GBK" w:cs="Times New Roman"/>
          <w:snapToGrid/>
          <w:color w:val="auto"/>
          <w:kern w:val="0"/>
          <w:sz w:val="32"/>
          <w:szCs w:val="32"/>
          <w:highlight w:val="none"/>
          <w:lang w:val="en-US" w:eastAsia="zh-CN" w:bidi="ar-SA"/>
        </w:rPr>
        <w:t>新成立的企业提供开户银行出具的资信证明或存款证明（加盖公章）。</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w:t>
      </w:r>
      <w:r>
        <w:rPr>
          <w:rFonts w:hint="eastAsia" w:eastAsia="方正仿宋_GBK" w:cs="Times New Roman"/>
          <w:snapToGrid/>
          <w:color w:val="auto"/>
          <w:kern w:val="0"/>
          <w:sz w:val="32"/>
          <w:szCs w:val="32"/>
          <w:highlight w:val="none"/>
          <w:lang w:val="en-US" w:eastAsia="zh-CN" w:bidi="ar-SA"/>
        </w:rPr>
        <w:t>提供2024年01月至今任意三个月的依法缴法纳税收和社保的完税凭证</w:t>
      </w:r>
      <w:r>
        <w:rPr>
          <w:rFonts w:hint="default" w:ascii="Times New Roman" w:hAnsi="Times New Roman" w:eastAsia="方正仿宋_GBK" w:cs="Times New Roman"/>
          <w:snapToGrid/>
          <w:color w:val="auto"/>
          <w:kern w:val="0"/>
          <w:sz w:val="32"/>
          <w:szCs w:val="32"/>
          <w:highlight w:val="none"/>
          <w:lang w:val="en-US" w:eastAsia="zh-CN" w:bidi="ar-SA"/>
        </w:rPr>
        <w:t>。新注册成立不足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的企业，应当提供书面情况说明（加盖公章）。</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2024年</w:t>
      </w:r>
      <w:r>
        <w:rPr>
          <w:rFonts w:hint="eastAsia" w:eastAsia="方正仿宋_GBK" w:cs="Times New Roman"/>
          <w:i w:val="0"/>
          <w:iCs w:val="0"/>
          <w:caps w:val="0"/>
          <w:color w:val="auto"/>
          <w:spacing w:val="0"/>
          <w:sz w:val="31"/>
          <w:szCs w:val="31"/>
          <w:highlight w:val="none"/>
          <w:shd w:val="clear" w:fill="FFFFFF"/>
          <w:lang w:val="en-US" w:eastAsia="zh-CN"/>
        </w:rPr>
        <w:t>06</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27</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pPr>
        <w:shd w:val="clear"/>
        <w:rPr>
          <w:rFonts w:hint="default" w:ascii="Times New Roman" w:hAnsi="Times New Roman" w:cs="Times New Roman"/>
          <w:color w:val="auto"/>
          <w:highlight w:val="none"/>
        </w:rPr>
      </w:pPr>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Style w:val="13"/>
        <w:tblpPr w:leftFromText="180" w:rightFromText="180" w:vertAnchor="text" w:horzAnchor="page" w:tblpX="1471" w:tblpY="451"/>
        <w:tblOverlap w:val="never"/>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0"/>
        <w:gridCol w:w="1021"/>
        <w:gridCol w:w="782"/>
        <w:gridCol w:w="2177"/>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3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24"/>
                <w:lang w:val="en-US" w:eastAsia="zh-CN" w:bidi="ar-SA"/>
              </w:rPr>
            </w:pPr>
            <w:r>
              <w:rPr>
                <w:rFonts w:hint="eastAsia" w:ascii="方正仿宋_GBK" w:hAnsi="方正仿宋_GBK" w:eastAsia="方正仿宋_GBK" w:cs="方正仿宋_GBK"/>
                <w:b w:val="0"/>
                <w:bCs w:val="0"/>
                <w:kern w:val="0"/>
                <w:sz w:val="24"/>
                <w:szCs w:val="32"/>
                <w:lang w:val="en-US" w:eastAsia="zh-CN" w:bidi="ar-SA"/>
              </w:rPr>
              <w:t>序号</w:t>
            </w:r>
          </w:p>
        </w:tc>
        <w:tc>
          <w:tcPr>
            <w:tcW w:w="258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设备名称</w:t>
            </w:r>
          </w:p>
        </w:tc>
        <w:tc>
          <w:tcPr>
            <w:tcW w:w="102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bidi="ar-SA"/>
              </w:rPr>
            </w:pPr>
            <w:r>
              <w:rPr>
                <w:rFonts w:hint="eastAsia" w:ascii="方正仿宋_GBK" w:hAnsi="方正仿宋_GBK" w:eastAsia="方正仿宋_GBK" w:cs="方正仿宋_GBK"/>
                <w:b w:val="0"/>
                <w:bCs w:val="0"/>
                <w:kern w:val="0"/>
                <w:sz w:val="24"/>
                <w:szCs w:val="32"/>
                <w:lang w:val="en-US" w:bidi="ar-SA"/>
              </w:rPr>
              <w:t>数量</w:t>
            </w:r>
          </w:p>
        </w:tc>
        <w:tc>
          <w:tcPr>
            <w:tcW w:w="782"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bidi="ar-SA"/>
              </w:rPr>
            </w:pPr>
            <w:r>
              <w:rPr>
                <w:rFonts w:hint="eastAsia" w:ascii="方正仿宋_GBK" w:hAnsi="方正仿宋_GBK" w:eastAsia="方正仿宋_GBK" w:cs="方正仿宋_GBK"/>
                <w:b w:val="0"/>
                <w:bCs w:val="0"/>
                <w:kern w:val="0"/>
                <w:sz w:val="24"/>
                <w:szCs w:val="32"/>
                <w:lang w:val="en-US" w:bidi="ar-SA"/>
              </w:rPr>
              <w:t>单位</w:t>
            </w:r>
          </w:p>
        </w:tc>
        <w:tc>
          <w:tcPr>
            <w:tcW w:w="217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2"/>
                <w:sz w:val="24"/>
                <w:szCs w:val="32"/>
                <w:lang w:val="en-US" w:eastAsia="zh-CN" w:bidi="ar-SA"/>
              </w:rPr>
              <w:t>单价（元）</w:t>
            </w:r>
          </w:p>
        </w:tc>
        <w:tc>
          <w:tcPr>
            <w:tcW w:w="186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PB840呼吸机氧电池传感器</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个</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1800.00</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2</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泽普ZEPU-C2体外冲击波治疗仪的传导子和传导管</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套</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9000.00</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295" w:type="dxa"/>
            <w:gridSpan w:val="5"/>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合计（元）</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default" w:ascii="方正仿宋_GBK" w:hAnsi="方正仿宋_GBK" w:eastAsia="方正仿宋_GBK" w:cs="方正仿宋_GBK"/>
                <w:b w:val="0"/>
                <w:bCs w:val="0"/>
                <w:kern w:val="0"/>
                <w:sz w:val="24"/>
                <w:szCs w:val="32"/>
                <w:lang w:val="en-US" w:eastAsia="zh-CN" w:bidi="ar-SA"/>
              </w:rPr>
              <w:t>19800.00</w:t>
            </w:r>
          </w:p>
        </w:tc>
      </w:tr>
    </w:tbl>
    <w:p>
      <w:pPr>
        <w:numPr>
          <w:ilvl w:val="0"/>
          <w:numId w:val="0"/>
        </w:numPr>
        <w:shd w:val="clear"/>
        <w:jc w:val="both"/>
        <w:rPr>
          <w:rFonts w:hint="default" w:ascii="Times New Roman" w:hAnsi="Times New Roman" w:eastAsia="方正小标宋_GBK" w:cs="Times New Roman"/>
          <w:b w:val="0"/>
          <w:bCs w:val="0"/>
          <w:snapToGrid/>
          <w:color w:val="auto"/>
          <w:kern w:val="2"/>
          <w:sz w:val="44"/>
          <w:szCs w:val="36"/>
          <w:highlight w:val="none"/>
          <w:lang w:val="en-US" w:eastAsia="zh-CN" w:bidi="ar-SA"/>
        </w:rPr>
      </w:pPr>
    </w:p>
    <w:p>
      <w:pPr>
        <w:rPr>
          <w:rFonts w:hint="eastAsia"/>
          <w:b/>
          <w:sz w:val="30"/>
          <w:szCs w:val="30"/>
          <w:lang w:eastAsia="zh-CN"/>
        </w:rPr>
      </w:pPr>
      <w:r>
        <w:rPr>
          <w:rFonts w:hint="eastAsia"/>
          <w:b/>
          <w:sz w:val="30"/>
          <w:szCs w:val="30"/>
          <w:lang w:eastAsia="zh-CN"/>
        </w:rPr>
        <w:br w:type="page"/>
      </w:r>
    </w:p>
    <w:p>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pPr>
        <w:pStyle w:val="6"/>
        <w:shd w:val="clear"/>
        <w:rPr>
          <w:rFonts w:hint="default" w:ascii="Times New Roman" w:hAnsi="Times New Roman" w:cs="Times New Roman"/>
          <w:color w:val="auto"/>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5522_WPSOffice_Level3"/>
      <w:bookmarkStart w:id="2" w:name="_Toc28795_WPSOffice_Level3"/>
      <w:bookmarkStart w:id="3" w:name="_Toc2494_WPSOffice_Level3"/>
      <w:bookmarkStart w:id="4" w:name="_Toc5485_WPSOffice_Level3"/>
      <w:bookmarkStart w:id="5" w:name="_Toc28316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default"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Cs/>
          <w:color w:val="auto"/>
          <w:sz w:val="32"/>
          <w:szCs w:val="32"/>
          <w:highlight w:val="none"/>
          <w:lang w:eastAsia="zh-CN"/>
        </w:rPr>
      </w:pPr>
    </w:p>
    <w:p>
      <w:pPr>
        <w:pStyle w:val="6"/>
        <w:shd w:val="clear"/>
        <w:rPr>
          <w:rFonts w:hint="default" w:ascii="Times New Roman" w:hAnsi="Times New Roman" w:cs="Times New Roman"/>
          <w:color w:val="auto"/>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40</w:t>
      </w:r>
      <w:r>
        <w:rPr>
          <w:rFonts w:hint="default" w:ascii="Times New Roman" w:hAnsi="Times New Roman" w:eastAsia="方正仿宋_GBK" w:cs="Times New Roman"/>
          <w:b/>
          <w:bCs w:val="0"/>
          <w:color w:val="auto"/>
          <w:sz w:val="32"/>
          <w:szCs w:val="32"/>
          <w:highlight w:val="none"/>
          <w:lang w:val="en-US" w:eastAsia="zh-CN"/>
        </w:rPr>
        <w:t xml:space="preserve"> 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40</w:t>
      </w:r>
      <w:r>
        <w:rPr>
          <w:rFonts w:hint="default" w:ascii="Times New Roman" w:hAnsi="Times New Roman" w:eastAsia="方正仿宋_GBK" w:cs="Times New Roman"/>
          <w:bCs/>
          <w:color w:val="auto"/>
          <w:sz w:val="32"/>
          <w:szCs w:val="32"/>
          <w:highlight w:val="none"/>
          <w:lang w:val="en-US" w:eastAsia="zh-CN"/>
        </w:rPr>
        <w:t>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 xml:space="preserve">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 xml:space="preserve">（满分 </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 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w:t>
      </w: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w:t>
      </w:r>
      <w:r>
        <w:rPr>
          <w:rFonts w:hint="eastAsia" w:ascii="Times New Roman" w:hAnsi="Times New Roman" w:eastAsia="方正仿宋_GBK" w:cs="Times New Roman"/>
          <w:bCs/>
          <w:color w:val="auto"/>
          <w:sz w:val="32"/>
          <w:szCs w:val="32"/>
          <w:highlight w:val="none"/>
          <w:lang w:val="en-US" w:eastAsia="zh-CN"/>
        </w:rPr>
        <w:t>11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分</w:t>
      </w:r>
      <w:r>
        <w:rPr>
          <w:rFonts w:hint="eastAsia" w:ascii="Times New Roman" w:hAnsi="Times New Roman" w:eastAsia="方正仿宋_GBK" w:cs="Times New Roman"/>
          <w:bCs/>
          <w:color w:val="auto"/>
          <w:sz w:val="32"/>
          <w:szCs w:val="32"/>
          <w:highlight w:val="none"/>
          <w:lang w:val="en-US"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 xml:space="preserve">、未提供不得分。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p>
    <w:p>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pPr>
        <w:shd w:val="clear"/>
        <w:rPr>
          <w:rFonts w:hint="default" w:ascii="Times New Roman" w:hAnsi="Times New Roman" w:eastAsia="方正小标宋_GBK" w:cs="Times New Roman"/>
          <w:b w:val="0"/>
          <w:bCs w:val="0"/>
          <w:color w:val="auto"/>
          <w:sz w:val="44"/>
          <w:szCs w:val="44"/>
          <w:highlight w:val="none"/>
          <w:lang w:val="en-US" w:eastAsia="zh-CN"/>
        </w:rPr>
      </w:pPr>
    </w:p>
    <w:p>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pPr>
        <w:shd w:val="clear" w:color="auto"/>
        <w:spacing w:line="600" w:lineRule="exact"/>
        <w:rPr>
          <w:rFonts w:hint="default" w:ascii="Times New Roman" w:hAnsi="Times New Roman" w:eastAsia="仿宋" w:cs="Times New Roman"/>
          <w:caps w:val="0"/>
          <w:color w:val="auto"/>
          <w:sz w:val="32"/>
          <w:szCs w:val="32"/>
          <w:highlight w:val="none"/>
          <w:u w:val="single"/>
        </w:rPr>
      </w:pPr>
    </w:p>
    <w:p>
      <w:pPr>
        <w:shd w:val="clear" w:color="auto"/>
        <w:spacing w:line="600" w:lineRule="exact"/>
        <w:rPr>
          <w:rFonts w:hint="default" w:ascii="Times New Roman" w:hAnsi="Times New Roman" w:eastAsia="仿宋" w:cs="Times New Roman"/>
          <w:caps w:val="0"/>
          <w:color w:val="auto"/>
          <w:sz w:val="32"/>
          <w:szCs w:val="32"/>
          <w:highlight w:val="none"/>
          <w:u w:val="single"/>
        </w:rPr>
      </w:pPr>
    </w:p>
    <w:p>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pPr>
        <w:pStyle w:val="2"/>
        <w:shd w:val="clear"/>
        <w:rPr>
          <w:rFonts w:hint="default" w:ascii="Times New Roman" w:hAnsi="Times New Roman" w:eastAsia="仿宋" w:cs="Times New Roman"/>
          <w:caps w:val="0"/>
          <w:color w:val="auto"/>
          <w:sz w:val="32"/>
          <w:szCs w:val="32"/>
          <w:highlight w:val="none"/>
          <w:u w:val="single"/>
        </w:rPr>
      </w:pPr>
    </w:p>
    <w:p>
      <w:pPr>
        <w:shd w:val="clear"/>
        <w:rPr>
          <w:rFonts w:hint="default" w:ascii="Times New Roman" w:hAnsi="Times New Roman" w:cs="Times New Roman"/>
          <w:color w:val="auto"/>
          <w:highlight w:val="none"/>
        </w:rPr>
      </w:pPr>
    </w:p>
    <w:p>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472"/>
      <w:bookmarkStart w:id="7" w:name="_Toc26851_WPSOffice_Level1"/>
      <w:bookmarkStart w:id="8" w:name="_Toc10072"/>
      <w:bookmarkStart w:id="9" w:name="_Toc471"/>
      <w:bookmarkStart w:id="10" w:name="_Toc11043_WPSOffice_Level1"/>
      <w:bookmarkStart w:id="11" w:name="_Toc14249"/>
      <w:bookmarkStart w:id="12" w:name="_Toc9916"/>
      <w:bookmarkStart w:id="13" w:name="_Toc15113"/>
      <w:bookmarkStart w:id="14" w:name="_Toc26092"/>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pPr>
        <w:shd w:val="clear" w:color="auto"/>
        <w:tabs>
          <w:tab w:val="left" w:pos="2280"/>
        </w:tabs>
        <w:spacing w:line="600" w:lineRule="exact"/>
        <w:ind w:firstLine="562" w:firstLineChars="200"/>
        <w:outlineLvl w:val="0"/>
        <w:rPr>
          <w:rStyle w:val="18"/>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pStyle w:val="12"/>
        <w:numPr>
          <w:ilvl w:val="0"/>
          <w:numId w:val="3"/>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pPr>
        <w:widowControl w:val="0"/>
        <w:numPr>
          <w:ilvl w:val="0"/>
          <w:numId w:val="0"/>
        </w:numPr>
        <w:spacing w:line="240" w:lineRule="auto"/>
        <w:jc w:val="both"/>
        <w:rPr>
          <w:rFonts w:hint="default"/>
          <w:color w:val="auto"/>
          <w:lang w:eastAsia="zh-CN"/>
        </w:rPr>
      </w:pPr>
    </w:p>
    <w:p>
      <w:pPr>
        <w:pStyle w:val="3"/>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自合同签订之日起至质保期结束之日止</w:t>
            </w:r>
          </w:p>
        </w:tc>
      </w:tr>
    </w:tbl>
    <w:p>
      <w:pPr>
        <w:numPr>
          <w:ilvl w:val="0"/>
          <w:numId w:val="0"/>
        </w:numPr>
        <w:shd w:val="clear"/>
        <w:jc w:val="left"/>
        <w:rPr>
          <w:rFonts w:hint="default" w:ascii="Times New Roman" w:hAnsi="Times New Roman" w:cs="Times New Roman"/>
          <w:b/>
          <w:bCs/>
          <w:color w:val="auto"/>
          <w:sz w:val="28"/>
          <w:szCs w:val="36"/>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pPr>
        <w:pStyle w:val="12"/>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pPr>
        <w:pStyle w:val="12"/>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pPr>
        <w:numPr>
          <w:ilvl w:val="0"/>
          <w:numId w:val="4"/>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pPr>
        <w:pStyle w:val="6"/>
        <w:rPr>
          <w:rFonts w:hint="default"/>
          <w:color w:val="auto"/>
          <w:lang w:val="en-US" w:eastAsia="zh-CN"/>
        </w:rPr>
      </w:pPr>
    </w:p>
    <w:tbl>
      <w:tblPr>
        <w:tblStyle w:val="14"/>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pPr>
        <w:pStyle w:val="6"/>
        <w:ind w:left="0" w:leftChars="0" w:firstLine="0" w:firstLineChars="0"/>
        <w:rPr>
          <w:rFonts w:hint="eastAsia"/>
          <w:color w:val="auto"/>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0542"/>
      <w:bookmarkStart w:id="20" w:name="_Toc12489"/>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注：按照本文件第二章“采购需求”中所列产品按顺序填报，其中，所报单价、总价均不得超过预算价，报价相加所得合价为本次的“投标报价”，不得缺项漏项或任意合并项目报价。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pPr>
        <w:pStyle w:val="3"/>
        <w:rPr>
          <w:rFonts w:hint="eastAsia"/>
          <w:color w:val="auto"/>
          <w:lang w:val="en-US" w:eastAsia="zh-CN"/>
        </w:rPr>
      </w:pPr>
    </w:p>
    <w:p>
      <w:pPr>
        <w:tabs>
          <w:tab w:val="left" w:pos="720"/>
          <w:tab w:val="left" w:pos="900"/>
        </w:tabs>
        <w:spacing w:line="500" w:lineRule="exact"/>
        <w:rPr>
          <w:rFonts w:hint="eastAsia" w:ascii="Times New Roman" w:hAnsi="宋体" w:eastAsia="宋体" w:cs="Times New Roman"/>
          <w:snapToGrid/>
          <w:color w:val="auto"/>
          <w:spacing w:val="0"/>
          <w:kern w:val="0"/>
          <w:sz w:val="24"/>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pStyle w:val="3"/>
        <w:rPr>
          <w:rFonts w:hint="default"/>
          <w:color w:val="auto"/>
          <w:lang w:val="en-US" w:eastAsia="zh-CN"/>
        </w:rPr>
      </w:pPr>
    </w:p>
    <w:p>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pPr>
        <w:shd w:val="clear"/>
        <w:rPr>
          <w:rFonts w:hint="default" w:ascii="Times New Roman" w:hAnsi="Times New Roman" w:eastAsia="仿宋" w:cs="Times New Roman"/>
          <w:b/>
          <w:color w:val="auto"/>
          <w:sz w:val="32"/>
          <w:szCs w:val="32"/>
          <w:highlight w:val="none"/>
        </w:rPr>
      </w:pPr>
      <w:bookmarkStart w:id="21" w:name="_Toc7312"/>
      <w:bookmarkStart w:id="22" w:name="_Toc1891"/>
      <w:bookmarkStart w:id="23" w:name="_Toc14552"/>
      <w:r>
        <w:rPr>
          <w:rFonts w:hint="default" w:ascii="Times New Roman" w:hAnsi="Times New Roman" w:eastAsia="仿宋" w:cs="Times New Roman"/>
          <w:b/>
          <w:color w:val="auto"/>
          <w:sz w:val="32"/>
          <w:szCs w:val="32"/>
          <w:highlight w:val="none"/>
        </w:rPr>
        <w:br w:type="page"/>
      </w:r>
    </w:p>
    <w:p>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numPr>
          <w:ilvl w:val="0"/>
          <w:numId w:val="5"/>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pPr>
        <w:pStyle w:val="6"/>
        <w:shd w:val="clear"/>
        <w:rPr>
          <w:rFonts w:hint="default" w:ascii="Times New Roman" w:hAnsi="Times New Roman" w:cs="Times New Roman"/>
          <w:color w:val="auto"/>
          <w:highlight w:val="none"/>
          <w:lang w:val="en-US" w:eastAsia="zh-CN"/>
        </w:rPr>
      </w:pP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（四）投标人基本情况（复印件加盖公章）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righ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具有三证合一的有效营业执照（营业执照的经营范围能够满足本次采购要求）。</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投标人若为制造商，须提供医疗器械生产许可/备案证（制造商工商注册地在中华人民共和国境外的，不作此要求）、所投产品的医疗器械注册证及附件。</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健全的财务会计制度：提供2021年-2023年任意年度的财务报告及财务报表（包括资产负债表、现金流量表和利润表），如果是2024年新成立的企业提供开户银行出具的资信证明或存款证明（加盖公章）（加盖公章）。</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有依法缴纳税收和社会保障资金的良好记录，</w:t>
      </w:r>
      <w:r>
        <w:rPr>
          <w:rFonts w:hint="eastAsia" w:ascii="Times New Roman" w:hAnsi="Times New Roman" w:eastAsia="仿宋" w:cs="Times New Roman"/>
          <w:color w:val="auto"/>
          <w:sz w:val="32"/>
          <w:szCs w:val="32"/>
          <w:highlight w:val="none"/>
          <w:lang w:val="en-US" w:eastAsia="zh-CN"/>
        </w:rPr>
        <w:t>提供2024年01月至今任意三个月的依法缴法纳税收和社保的完税凭证</w:t>
      </w:r>
      <w:r>
        <w:rPr>
          <w:rFonts w:hint="default" w:ascii="Times New Roman" w:hAnsi="Times New Roman" w:eastAsia="仿宋" w:cs="Times New Roman"/>
          <w:color w:val="auto"/>
          <w:sz w:val="32"/>
          <w:szCs w:val="32"/>
          <w:highlight w:val="none"/>
          <w:lang w:val="en-US" w:eastAsia="zh-CN"/>
        </w:rPr>
        <w:t>。新注册成立不足三个月的企业，应当提供书面情况说明（加盖公章）。</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pPr>
        <w:shd w:val="clear"/>
        <w:rPr>
          <w:rFonts w:hint="default" w:ascii="Times New Roman" w:hAnsi="Times New Roman" w:eastAsia="宋体" w:cs="Times New Roman"/>
          <w:color w:val="auto"/>
          <w:highlight w:val="none"/>
          <w:lang w:eastAsia="zh-CN"/>
        </w:rPr>
      </w:pPr>
    </w:p>
    <w:p>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pPr>
        <w:pStyle w:val="6"/>
        <w:shd w:val="clear"/>
        <w:rPr>
          <w:rFonts w:hint="default" w:ascii="Times New Roman" w:hAnsi="Times New Roman" w:cs="Times New Roman"/>
          <w:color w:val="auto"/>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both"/>
        <w:rPr>
          <w:rFonts w:hint="default" w:ascii="Times New Roman" w:hAnsi="Times New Roman" w:cs="Times New Roman"/>
          <w:b/>
          <w:bCs/>
          <w:color w:val="auto"/>
          <w:sz w:val="28"/>
          <w:szCs w:val="36"/>
          <w:highlight w:val="none"/>
        </w:rPr>
      </w:pPr>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B68928A"/>
    <w:multiLevelType w:val="singleLevel"/>
    <w:tmpl w:val="BB68928A"/>
    <w:lvl w:ilvl="0" w:tentative="0">
      <w:start w:val="2"/>
      <w:numFmt w:val="chineseCounting"/>
      <w:suff w:val="nothing"/>
      <w:lvlText w:val="（%1）"/>
      <w:lvlJc w:val="left"/>
      <w:rPr>
        <w:rFonts w:hint="eastAsia"/>
      </w:rPr>
    </w:lvl>
  </w:abstractNum>
  <w:abstractNum w:abstractNumId="3">
    <w:nsid w:val="D3F50BE3"/>
    <w:multiLevelType w:val="singleLevel"/>
    <w:tmpl w:val="D3F50BE3"/>
    <w:lvl w:ilvl="0" w:tentative="0">
      <w:start w:val="1"/>
      <w:numFmt w:val="decimal"/>
      <w:suff w:val="nothing"/>
      <w:lvlText w:val="%1．"/>
      <w:lvlJc w:val="left"/>
      <w:pPr>
        <w:ind w:left="0" w:firstLine="400"/>
      </w:pPr>
      <w:rPr>
        <w:rFonts w:hint="default"/>
      </w:rPr>
    </w:lvl>
  </w:abstractNum>
  <w:abstractNum w:abstractNumId="4">
    <w:nsid w:val="D844AF3C"/>
    <w:multiLevelType w:val="singleLevel"/>
    <w:tmpl w:val="D844AF3C"/>
    <w:lvl w:ilvl="0" w:tentative="0">
      <w:start w:val="1"/>
      <w:numFmt w:val="decimal"/>
      <w:suff w:val="nothing"/>
      <w:lvlText w:val="%1．"/>
      <w:lvlJc w:val="left"/>
      <w:pPr>
        <w:ind w:left="0" w:firstLine="400"/>
      </w:pPr>
      <w:rPr>
        <w:rFonts w:hint="default"/>
      </w:rPr>
    </w:lvl>
  </w:abstractNum>
  <w:abstractNum w:abstractNumId="5">
    <w:nsid w:val="54046F1D"/>
    <w:multiLevelType w:val="singleLevel"/>
    <w:tmpl w:val="54046F1D"/>
    <w:lvl w:ilvl="0" w:tentative="0">
      <w:start w:val="2"/>
      <w:numFmt w:val="chineseCounting"/>
      <w:suff w:val="space"/>
      <w:lvlText w:val="第%1章"/>
      <w:lvlJc w:val="left"/>
      <w:rPr>
        <w:rFonts w:hint="eastAsia"/>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6770DC3"/>
    <w:rsid w:val="083B0601"/>
    <w:rsid w:val="09886899"/>
    <w:rsid w:val="0B2F18D2"/>
    <w:rsid w:val="0CC90E9B"/>
    <w:rsid w:val="0CF072D2"/>
    <w:rsid w:val="0EB50EFB"/>
    <w:rsid w:val="13C03C4E"/>
    <w:rsid w:val="15B461B2"/>
    <w:rsid w:val="15EC5330"/>
    <w:rsid w:val="16921052"/>
    <w:rsid w:val="178C5400"/>
    <w:rsid w:val="1A4B1C44"/>
    <w:rsid w:val="1B1326B5"/>
    <w:rsid w:val="1B7C7A72"/>
    <w:rsid w:val="1E7554E1"/>
    <w:rsid w:val="1ECD654A"/>
    <w:rsid w:val="21F65CBD"/>
    <w:rsid w:val="22CF498A"/>
    <w:rsid w:val="23C431BC"/>
    <w:rsid w:val="23ED21CC"/>
    <w:rsid w:val="245E07C6"/>
    <w:rsid w:val="246E3C7D"/>
    <w:rsid w:val="2560405C"/>
    <w:rsid w:val="257C39E3"/>
    <w:rsid w:val="27747F46"/>
    <w:rsid w:val="2F283EAA"/>
    <w:rsid w:val="30BB1C89"/>
    <w:rsid w:val="31C91C30"/>
    <w:rsid w:val="31CA0963"/>
    <w:rsid w:val="32AF6807"/>
    <w:rsid w:val="32CF7F5E"/>
    <w:rsid w:val="34AE304E"/>
    <w:rsid w:val="360A3943"/>
    <w:rsid w:val="363F73ED"/>
    <w:rsid w:val="36A739D9"/>
    <w:rsid w:val="39656009"/>
    <w:rsid w:val="396D7D21"/>
    <w:rsid w:val="3B0E6926"/>
    <w:rsid w:val="3D4C6AFE"/>
    <w:rsid w:val="41DC2741"/>
    <w:rsid w:val="452A2CC3"/>
    <w:rsid w:val="45C30031"/>
    <w:rsid w:val="472B66A7"/>
    <w:rsid w:val="4867290A"/>
    <w:rsid w:val="4878714A"/>
    <w:rsid w:val="49AC7049"/>
    <w:rsid w:val="4CF7562B"/>
    <w:rsid w:val="4EE33DFD"/>
    <w:rsid w:val="50A81B62"/>
    <w:rsid w:val="522824AD"/>
    <w:rsid w:val="53767429"/>
    <w:rsid w:val="53CD7B39"/>
    <w:rsid w:val="54A86D6F"/>
    <w:rsid w:val="55546EF7"/>
    <w:rsid w:val="56057E0B"/>
    <w:rsid w:val="57BE3C26"/>
    <w:rsid w:val="57C03DCA"/>
    <w:rsid w:val="58AB4B55"/>
    <w:rsid w:val="5AD631F0"/>
    <w:rsid w:val="5B2D7F74"/>
    <w:rsid w:val="5B6E039F"/>
    <w:rsid w:val="5C352B85"/>
    <w:rsid w:val="5E432F68"/>
    <w:rsid w:val="5EA52DE5"/>
    <w:rsid w:val="60D430DA"/>
    <w:rsid w:val="62F578A1"/>
    <w:rsid w:val="6300080F"/>
    <w:rsid w:val="63343C12"/>
    <w:rsid w:val="634145D0"/>
    <w:rsid w:val="63C10DFE"/>
    <w:rsid w:val="64A96C15"/>
    <w:rsid w:val="667A5027"/>
    <w:rsid w:val="672022EE"/>
    <w:rsid w:val="68923A44"/>
    <w:rsid w:val="68B150E0"/>
    <w:rsid w:val="6C3519E0"/>
    <w:rsid w:val="6C4D6ED7"/>
    <w:rsid w:val="6CC87287"/>
    <w:rsid w:val="7099764F"/>
    <w:rsid w:val="71792783"/>
    <w:rsid w:val="71DD3C39"/>
    <w:rsid w:val="730D5425"/>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18"/>
    <w:autoRedefine/>
    <w:qFormat/>
    <w:uiPriority w:val="99"/>
    <w:pPr>
      <w:keepNext/>
      <w:keepLines/>
      <w:spacing w:line="360" w:lineRule="auto"/>
      <w:outlineLvl w:val="0"/>
    </w:pPr>
    <w:rPr>
      <w:b/>
      <w:bCs/>
      <w:kern w:val="44"/>
      <w:sz w:val="32"/>
      <w:szCs w:val="44"/>
    </w:rPr>
  </w:style>
  <w:style w:type="paragraph" w:styleId="3">
    <w:name w:val="heading 2"/>
    <w:basedOn w:val="1"/>
    <w:next w:val="1"/>
    <w:link w:val="19"/>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3"/>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Balloon Text"/>
    <w:basedOn w:val="1"/>
    <w:link w:val="22"/>
    <w:autoRedefine/>
    <w:semiHidden/>
    <w:unhideWhenUsed/>
    <w:qFormat/>
    <w:uiPriority w:val="99"/>
    <w:rPr>
      <w:sz w:val="18"/>
      <w:szCs w:val="18"/>
    </w:rPr>
  </w:style>
  <w:style w:type="paragraph" w:styleId="9">
    <w:name w:val="footer"/>
    <w:basedOn w:val="1"/>
    <w:link w:val="21"/>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0">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1">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2">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22"/>
    <w:rPr>
      <w:b/>
    </w:rPr>
  </w:style>
  <w:style w:type="character" w:styleId="17">
    <w:name w:val="Hyperlink"/>
    <w:basedOn w:val="15"/>
    <w:autoRedefine/>
    <w:semiHidden/>
    <w:unhideWhenUsed/>
    <w:qFormat/>
    <w:uiPriority w:val="99"/>
    <w:rPr>
      <w:color w:val="333333"/>
      <w:u w:val="none"/>
    </w:rPr>
  </w:style>
  <w:style w:type="character" w:customStyle="1" w:styleId="18">
    <w:name w:val="标题 1 Char"/>
    <w:link w:val="2"/>
    <w:autoRedefine/>
    <w:qFormat/>
    <w:uiPriority w:val="0"/>
    <w:rPr>
      <w:b/>
      <w:bCs/>
      <w:kern w:val="44"/>
      <w:sz w:val="32"/>
      <w:szCs w:val="44"/>
    </w:rPr>
  </w:style>
  <w:style w:type="character" w:customStyle="1" w:styleId="19">
    <w:name w:val="标题 2 Char"/>
    <w:basedOn w:val="15"/>
    <w:link w:val="3"/>
    <w:autoRedefine/>
    <w:qFormat/>
    <w:uiPriority w:val="9"/>
    <w:rPr>
      <w:rFonts w:ascii="宋体" w:hAnsi="宋体" w:eastAsia="宋体" w:cs="宋体"/>
      <w:b/>
      <w:bCs/>
      <w:snapToGrid/>
      <w:color w:val="auto"/>
      <w:sz w:val="24"/>
      <w:szCs w:val="24"/>
    </w:rPr>
  </w:style>
  <w:style w:type="character" w:customStyle="1" w:styleId="20">
    <w:name w:val="页眉 Char"/>
    <w:basedOn w:val="15"/>
    <w:link w:val="10"/>
    <w:autoRedefine/>
    <w:semiHidden/>
    <w:qFormat/>
    <w:uiPriority w:val="99"/>
    <w:rPr>
      <w:sz w:val="18"/>
      <w:szCs w:val="18"/>
    </w:rPr>
  </w:style>
  <w:style w:type="character" w:customStyle="1" w:styleId="21">
    <w:name w:val="页脚 Char"/>
    <w:basedOn w:val="15"/>
    <w:link w:val="9"/>
    <w:autoRedefine/>
    <w:semiHidden/>
    <w:qFormat/>
    <w:uiPriority w:val="99"/>
    <w:rPr>
      <w:sz w:val="18"/>
      <w:szCs w:val="18"/>
    </w:rPr>
  </w:style>
  <w:style w:type="character" w:customStyle="1" w:styleId="22">
    <w:name w:val="批注框文本 Char"/>
    <w:basedOn w:val="15"/>
    <w:link w:val="8"/>
    <w:autoRedefine/>
    <w:semiHidden/>
    <w:qFormat/>
    <w:uiPriority w:val="99"/>
    <w:rPr>
      <w:rFonts w:ascii="Calibri" w:hAnsi="Calibri" w:eastAsia="宋体" w:cs="Times New Roman"/>
      <w:snapToGrid/>
      <w:color w:val="auto"/>
      <w:kern w:val="2"/>
      <w:sz w:val="18"/>
      <w:szCs w:val="18"/>
    </w:rPr>
  </w:style>
  <w:style w:type="character" w:customStyle="1" w:styleId="23">
    <w:name w:val="文档结构图 Char"/>
    <w:basedOn w:val="15"/>
    <w:link w:val="5"/>
    <w:autoRedefine/>
    <w:semiHidden/>
    <w:qFormat/>
    <w:uiPriority w:val="99"/>
    <w:rPr>
      <w:rFonts w:ascii="宋体" w:hAnsi="Calibri" w:eastAsia="宋体" w:cs="Times New Roman"/>
      <w:snapToGrid/>
      <w:color w:val="auto"/>
      <w:kern w:val="2"/>
      <w:sz w:val="18"/>
      <w:szCs w:val="18"/>
    </w:rPr>
  </w:style>
  <w:style w:type="paragraph" w:customStyle="1" w:styleId="24">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5">
    <w:name w:val="p0"/>
    <w:basedOn w:val="1"/>
    <w:autoRedefine/>
    <w:qFormat/>
    <w:uiPriority w:val="0"/>
    <w:pPr>
      <w:widowControl/>
    </w:pPr>
    <w:rPr>
      <w:kern w:val="0"/>
      <w:szCs w:val="21"/>
    </w:rPr>
  </w:style>
  <w:style w:type="paragraph" w:customStyle="1" w:styleId="26">
    <w:name w:val="列表段落1"/>
    <w:basedOn w:val="1"/>
    <w:autoRedefine/>
    <w:qFormat/>
    <w:uiPriority w:val="34"/>
    <w:pPr>
      <w:ind w:firstLine="420" w:firstLineChars="200"/>
    </w:pPr>
  </w:style>
  <w:style w:type="character" w:customStyle="1" w:styleId="27">
    <w:name w:val="font51"/>
    <w:basedOn w:val="15"/>
    <w:autoRedefine/>
    <w:qFormat/>
    <w:uiPriority w:val="0"/>
    <w:rPr>
      <w:rFonts w:hint="eastAsia" w:ascii="宋体" w:hAnsi="宋体" w:eastAsia="宋体" w:cs="宋体"/>
      <w:color w:val="000000"/>
      <w:sz w:val="24"/>
      <w:szCs w:val="24"/>
    </w:rPr>
  </w:style>
  <w:style w:type="paragraph" w:styleId="28">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29">
    <w:name w:val="font01"/>
    <w:basedOn w:val="15"/>
    <w:autoRedefine/>
    <w:qFormat/>
    <w:uiPriority w:val="0"/>
    <w:rPr>
      <w:rFonts w:hint="eastAsia" w:ascii="宋体" w:hAnsi="宋体" w:eastAsia="宋体" w:cs="宋体"/>
      <w:color w:val="000000"/>
      <w:sz w:val="22"/>
      <w:szCs w:val="22"/>
      <w:u w:val="none"/>
    </w:rPr>
  </w:style>
  <w:style w:type="paragraph" w:customStyle="1" w:styleId="30">
    <w:name w:val="Table Text"/>
    <w:basedOn w:val="1"/>
    <w:autoRedefine/>
    <w:semiHidden/>
    <w:qFormat/>
    <w:uiPriority w:val="0"/>
    <w:rPr>
      <w:rFonts w:ascii="Arial" w:hAnsi="Arial" w:eastAsia="Arial" w:cs="Arial"/>
      <w:sz w:val="21"/>
      <w:szCs w:val="21"/>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7189</Words>
  <Characters>7970</Characters>
  <Lines>15</Lines>
  <Paragraphs>4</Paragraphs>
  <TotalTime>6</TotalTime>
  <ScaleCrop>false</ScaleCrop>
  <LinksUpToDate>false</LinksUpToDate>
  <CharactersWithSpaces>8697</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2024-06-20T09:03:40Z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75E8011CC54B46E7AE32CC19040E908B</vt:lpwstr>
  </property>
</Properties>
</file>