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2024年泸西县中医医院中频治疗仪、经穴治疗仪等医疗设备采购项目</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lxxzyyycg-2024-0604</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2024年泸西县中医医院中频治疗仪、经穴治疗仪等医疗设备采购项目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lxxzyyycg-2024-0604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2024年泸西县中医医院中频治疗仪、经穴治疗仪等医疗设备采购项目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49200.00元。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采购中频治疗仪15台、经穴治疗仪15.00台、过氧化氢检测仪</w:t>
      </w:r>
      <w:r>
        <w:rPr>
          <w:rFonts w:hint="eastAsia" w:eastAsia="方正仿宋_GBK" w:cs="Times New Roman"/>
          <w:i w:val="0"/>
          <w:iCs w:val="0"/>
          <w:caps w:val="0"/>
          <w:color w:val="auto"/>
          <w:spacing w:val="0"/>
          <w:sz w:val="31"/>
          <w:szCs w:val="31"/>
          <w:highlight w:val="none"/>
          <w:shd w:val="clear" w:fill="FFFFFF"/>
          <w:lang w:val="en-US" w:eastAsia="zh-CN"/>
        </w:rPr>
        <w:t>1</w:t>
      </w:r>
      <w:r>
        <w:rPr>
          <w:rFonts w:hint="eastAsia" w:eastAsia="方正仿宋_GBK" w:cs="Times New Roman"/>
          <w:i w:val="0"/>
          <w:iCs w:val="0"/>
          <w:caps w:val="0"/>
          <w:color w:val="auto"/>
          <w:spacing w:val="0"/>
          <w:sz w:val="31"/>
          <w:szCs w:val="31"/>
          <w:highlight w:val="none"/>
          <w:shd w:val="clear" w:fill="FFFFFF"/>
          <w:lang w:eastAsia="zh-CN"/>
        </w:rPr>
        <w:t>台、发育评估量表</w:t>
      </w:r>
      <w:r>
        <w:rPr>
          <w:rFonts w:hint="eastAsia" w:eastAsia="方正仿宋_GBK" w:cs="Times New Roman"/>
          <w:i w:val="0"/>
          <w:iCs w:val="0"/>
          <w:caps w:val="0"/>
          <w:color w:val="auto"/>
          <w:spacing w:val="0"/>
          <w:sz w:val="31"/>
          <w:szCs w:val="31"/>
          <w:highlight w:val="none"/>
          <w:shd w:val="clear" w:fill="FFFFFF"/>
          <w:lang w:val="en-US" w:eastAsia="zh-CN"/>
        </w:rPr>
        <w:t>1套、</w:t>
      </w:r>
      <w:r>
        <w:rPr>
          <w:rFonts w:hint="eastAsia" w:eastAsia="方正仿宋_GBK" w:cs="Times New Roman"/>
          <w:i w:val="0"/>
          <w:iCs w:val="0"/>
          <w:caps w:val="0"/>
          <w:color w:val="auto"/>
          <w:spacing w:val="0"/>
          <w:sz w:val="31"/>
          <w:szCs w:val="31"/>
          <w:highlight w:val="none"/>
          <w:shd w:val="clear" w:fill="FFFFFF"/>
          <w:lang w:eastAsia="zh-CN"/>
        </w:rPr>
        <w:t>儿童智力测试工具箱</w:t>
      </w:r>
      <w:r>
        <w:rPr>
          <w:rFonts w:hint="eastAsia" w:eastAsia="方正仿宋_GBK" w:cs="Times New Roman"/>
          <w:i w:val="0"/>
          <w:iCs w:val="0"/>
          <w:caps w:val="0"/>
          <w:color w:val="auto"/>
          <w:spacing w:val="0"/>
          <w:sz w:val="31"/>
          <w:szCs w:val="31"/>
          <w:highlight w:val="none"/>
          <w:shd w:val="clear" w:fill="FFFFFF"/>
          <w:lang w:val="en-US" w:eastAsia="zh-CN"/>
        </w:rPr>
        <w:t>1套。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hint="eastAsia" w:eastAsia="方正仿宋_GBK" w:cs="Times New Roman"/>
          <w:snapToGrid/>
          <w:color w:val="auto"/>
          <w:kern w:val="0"/>
          <w:sz w:val="32"/>
          <w:szCs w:val="32"/>
          <w:highlight w:val="none"/>
          <w:lang w:val="en-US" w:eastAsia="zh-CN" w:bidi="ar-SA"/>
        </w:rPr>
        <w:t>提供2024年01月至今任意三个月的依法缴法纳税收和社保的完税凭证</w:t>
      </w:r>
      <w:r>
        <w:rPr>
          <w:rFonts w:hint="default" w:ascii="Times New Roman" w:hAnsi="Times New Roman" w:eastAsia="方正仿宋_GBK" w:cs="Times New Roman"/>
          <w:snapToGrid/>
          <w:color w:val="auto"/>
          <w:kern w:val="0"/>
          <w:sz w:val="32"/>
          <w:szCs w:val="32"/>
          <w:highlight w:val="none"/>
          <w:lang w:val="en-US" w:eastAsia="zh-CN" w:bidi="ar-SA"/>
        </w:rPr>
        <w:t>。新注册成立不足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06</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中频治疗仪</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15.00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930.00 </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13950.00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经穴治疗仪</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15.00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350.00 </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5250.00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3</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过氧化氢检测仪</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7000.00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发育评估量表</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12000.00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5</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儿童智力测试工具箱</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11000.00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49200.00</w:t>
            </w:r>
          </w:p>
        </w:tc>
      </w:tr>
    </w:tbl>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rPr>
          <w:rFonts w:hint="eastAsia"/>
          <w:b/>
          <w:sz w:val="30"/>
          <w:szCs w:val="30"/>
          <w:lang w:eastAsia="zh-CN"/>
        </w:rPr>
      </w:pPr>
      <w:r>
        <w:rPr>
          <w:rFonts w:hint="eastAsia"/>
          <w:b/>
          <w:sz w:val="30"/>
          <w:szCs w:val="30"/>
          <w:lang w:eastAsia="zh-CN"/>
        </w:rPr>
        <w:br w:type="page"/>
      </w:r>
    </w:p>
    <w:p>
      <w:p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一、中频治疗仪</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中频载波频率:2kHz-6KHz</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低频调制频率:1-150Hz</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调制波形:方波,尖波,三角波,锯齿波,指数波,正弦波及等幅波</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调制幅度:100%,90%，75%,60%，50%,40%，33%，15%</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最大输出电流:0-</w:t>
      </w:r>
      <w:r>
        <w:rPr>
          <w:rFonts w:hint="eastAsia" w:ascii="方正仿宋_GBK" w:hAnsi="方正仿宋_GBK" w:eastAsia="方正仿宋_GBK" w:cs="方正仿宋_GBK"/>
          <w:sz w:val="28"/>
          <w:szCs w:val="28"/>
          <w:lang w:val="en-US" w:eastAsia="zh-CN"/>
        </w:rPr>
        <w:t>85</w:t>
      </w:r>
      <w:r>
        <w:rPr>
          <w:rFonts w:hint="eastAsia" w:ascii="方正仿宋_GBK" w:hAnsi="方正仿宋_GBK" w:eastAsia="方正仿宋_GBK" w:cs="方正仿宋_GBK"/>
          <w:sz w:val="28"/>
          <w:szCs w:val="28"/>
        </w:rPr>
        <w:t>mA</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r.m.s) 误差：±5％</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输出电流稳定度:≦5%</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输出电流调节方式:按键递增递减</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输出通道:单通道</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北京全日康李淑文5253  8001 </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工作电压</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交流220V±</w:t>
      </w:r>
      <w:r>
        <w:rPr>
          <w:rFonts w:hint="eastAsia" w:ascii="方正仿宋_GBK" w:hAnsi="方正仿宋_GBK" w:eastAsia="方正仿宋_GBK" w:cs="方正仿宋_GBK"/>
          <w:sz w:val="28"/>
          <w:szCs w:val="28"/>
          <w:lang w:val="en-US" w:eastAsia="zh-CN"/>
        </w:rPr>
        <w:t>22V 、50Hz±1Hz</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10.电极表面温度：≤45℃</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输入功率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45VA</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安全分类:I类BF型</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熔断器:0.5A,5×20(两个)</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定时:20mh</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15.使用环境：环境温度5℃∽40℃      大气压力：86kpa∽106kpa    相对湿度≤80％</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运输和贮存环境条件：环境温度-40℃∽55℃ 相对湿度≤93％</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结构组成：主机及治疗电极组成</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尺寸：280×200×68mm 重量：2Kg</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可用负载阴搞范围：500Ω±10％</w:t>
      </w:r>
    </w:p>
    <w:p>
      <w:pPr>
        <w:numPr>
          <w:ilvl w:val="0"/>
          <w:numId w:val="0"/>
        </w:num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（随着负载阻抗范围上升、输出电流减小；负载阻抗范围下降，输出电流增加。对脉冲宽度，脉 冲重复频率等测有影响</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【外方列表】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处方1　颈椎病、腰痛、扭伤、挫伤、腰椎肩盘突出；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处方2　骨质增生、关节肿痛、类风湿关节炎；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处方3　肩周炎、肩关节周围炎，腱鞘炎、肱骨外上髁炎（网球肘）；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处方4　镇痛：用于各部位软组织损伤；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处方5　神经炎、坐骨神经痛、股外侧皮神经炎；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处方6　盆腔炎、附件炎、注射后硬结；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处方7　肌炎，消炎、消肿；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处方8　肌肉劳损，肌纤维织炎；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处方9　声速麻痹、慢性咽喉炎；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处方10 周围神经损伤，废用性肌萎缩；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处方11 胃肠功能紊乱、胃下垂、便秘； </w:t>
      </w:r>
    </w:p>
    <w:p>
      <w:pPr>
        <w:numPr>
          <w:ilvl w:val="0"/>
          <w:numId w:val="0"/>
        </w:numPr>
        <w:shd w:val="clear"/>
        <w:jc w:val="both"/>
        <w:rPr>
          <w:rFonts w:hint="eastAsia" w:ascii="方正仿宋_GBK" w:hAnsi="方正仿宋_GBK" w:eastAsia="方正仿宋_GBK" w:cs="方正仿宋_GBK"/>
          <w:b w:val="0"/>
          <w:bCs w:val="0"/>
          <w:snapToGrid/>
          <w:color w:val="auto"/>
          <w:kern w:val="2"/>
          <w:sz w:val="28"/>
          <w:szCs w:val="28"/>
          <w:highlight w:val="none"/>
          <w:lang w:val="en-US" w:eastAsia="zh-CN" w:bidi="ar-SA"/>
        </w:rPr>
      </w:pPr>
      <w:r>
        <w:rPr>
          <w:rFonts w:hint="eastAsia" w:ascii="方正仿宋_GBK" w:hAnsi="方正仿宋_GBK" w:eastAsia="方正仿宋_GBK" w:cs="方正仿宋_GBK"/>
          <w:sz w:val="28"/>
          <w:szCs w:val="28"/>
        </w:rPr>
        <w:t>处方12 术后粘连、瘢痕疙瘩。</w:t>
      </w:r>
    </w:p>
    <w:p>
      <w:pPr>
        <w:numPr>
          <w:numId w:val="0"/>
        </w:numPr>
        <w:shd w:val="clear"/>
        <w:jc w:val="both"/>
        <w:rPr>
          <w:rFonts w:hint="eastAsia" w:ascii="方正仿宋_GBK" w:hAnsi="方正仿宋_GBK" w:eastAsia="方正仿宋_GBK" w:cs="方正仿宋_GBK"/>
          <w:b w:val="0"/>
          <w:bCs w:val="0"/>
          <w:snapToGrid/>
          <w:color w:val="auto"/>
          <w:kern w:val="2"/>
          <w:sz w:val="28"/>
          <w:szCs w:val="28"/>
          <w:highlight w:val="none"/>
          <w:lang w:val="en-US" w:eastAsia="zh-CN" w:bidi="ar-SA"/>
        </w:rPr>
      </w:pPr>
    </w:p>
    <w:p>
      <w:pPr>
        <w:jc w:val="center"/>
        <w:rPr>
          <w:rFonts w:hint="eastAsia" w:ascii="方正仿宋_GBK" w:hAnsi="方正仿宋_GBK" w:eastAsia="方正仿宋_GBK" w:cs="方正仿宋_GBK"/>
          <w:b w:val="0"/>
          <w:bCs w:val="0"/>
          <w:snapToGrid/>
          <w:color w:val="auto"/>
          <w:kern w:val="2"/>
          <w:sz w:val="28"/>
          <w:szCs w:val="28"/>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二、经穴治疗仪</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电源电压：AC220V ,50Hz</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输入功率：8VA</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工作环境：环境温度 ＋10℃~＋40℃</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相对湿度：30%~75%</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大气压力：700hPa~1060hPa</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输出脉冲波型：双向非对称脉冲波</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输出模式：连续波、疏密波、断续波</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输出频率：连续波可调频率范围：0.2~100Hz(±20%）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疏密波交替次数可调范围：每分钟10次~26次（±20%）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断续波交替次数可调范围 ：每分钟10次~26次（±20%）</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输出脉冲宽度：0.5ms，±20%</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输出接口：5路输出，独立的输出控制系统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输出电压：大于30V（500Ω负载）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输出指示：通过发光二极管的闪烁来指示输出</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带开路 短路报警功能   增加探穴功能</w:t>
      </w:r>
    </w:p>
    <w:p>
      <w:pPr>
        <w:numPr>
          <w:numId w:val="0"/>
        </w:numPr>
        <w:shd w:val="clear"/>
        <w:jc w:val="both"/>
        <w:rPr>
          <w:rFonts w:hint="eastAsia" w:ascii="方正仿宋_GBK" w:hAnsi="方正仿宋_GBK" w:eastAsia="方正仿宋_GBK" w:cs="方正仿宋_GBK"/>
          <w:b w:val="0"/>
          <w:bCs w:val="0"/>
          <w:snapToGrid/>
          <w:color w:val="auto"/>
          <w:kern w:val="2"/>
          <w:sz w:val="28"/>
          <w:szCs w:val="28"/>
          <w:highlight w:val="none"/>
          <w:lang w:val="en-US" w:eastAsia="zh-CN" w:bidi="ar-SA"/>
        </w:rPr>
      </w:pPr>
    </w:p>
    <w:p>
      <w:p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三、过氧化氢检测仪</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在线式过氧化氢检测仪，MIC-500S-H2O2-A-WT挂网参数：</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检测气体：过氧化氢H2O2</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检测范围:0-100ppm</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显示方式:现场 1.7 寸高清彩屏显示，显示实时浓度、报警状态</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工作电压:12～36VDC直流，单台设备的标准电源为24V，1A或大于1A 的直流稳压开关电源</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工作环境:环境温度 -20℃～+55℃（典型值）  -40℃～+70℃（极限值），相对湿度≤95%RH（非凝露），压力：0.1MPA +/-20%</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信号输出:①三(四)线制 4～20mA，可连接各种报警控制器、PLC、DCS 等各种控制系统；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②总线制 RS485（RTU），标准 modbus 协议；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③2 组继电器高低段报警开关量输出（标配 1 组，可选配增加 1 组），无源触点（干节点)</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报警方式:默认1路，可选2路无源触点（干节点）输出，报警点可设置；现场声光报警</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电气接口:3/4NPT 转接内螺纹（可选 M20*1.5 内螺纹、1/2NPT、G3/4、G1/2 转接内螺纹）</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防护等级/防爆等级：IP65 ，隔爆型ExdⅡC T6 Gb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产品特点：隔爆电路设计，防爆、防震、抗静电，抗电磁干扰，二级防雷，抗高强度脉冲浪涌电流冲击、符合 EMI、EMC 标准，通过国标测试。 数据恢复功能，可以选择部分或全部恢复，免去误操作引起的后顾之忧。 误操作识别功能，浓度校准误操作自动识别并阻止，能避免人为因素造成的不良。</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标准附件：说明书、合格证、保修卡、红外遥控器）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认证：防爆合格证、ISO45001职业健康安全管理体系认证证书、ISO9001质量管理体系认证证书、IS014001环境管理体系认证证书、AAA测量管理体系认证证书</w:t>
      </w:r>
    </w:p>
    <w:p>
      <w:pPr>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br w:type="page"/>
      </w:r>
    </w:p>
    <w:p>
      <w:p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四、发育评估量表</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1．操作手册需中文。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2．适用于的儿童年龄段：0 至 8 岁。具有国际儿童发育评估领域先进水平。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3．发育评估量表需包括 6 个领域：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3.1 运动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该领域测试孩子的运动技能，包括平衡性和协调控制动作的能力进行评估。测试项目包括与孩子年龄相对应的运动如：上下楼梯、踢球、骑自行车、小跳和跳跃等。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3.2 个人-社会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该领域评估孩子日常生活的熟练性，独立程度和与其他孩子的交往能力。测试项目包括与孩子年龄相对应的活动如：穿脱衣服、使用餐具、运用知识信息的能力，例如是否知道生日或住址等。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3.3 语言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该领域测试孩子接受和表达语言的能力。测试的项目包括与孩子年龄相对应的活动如：说出物体的颜色和名称，重复话语以及描述一副图画并回答一系列关于内容的相同点/不同点的问题等。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3.4 手眼协调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该领域评估孩子精细运动的技巧，手部灵巧性和视觉追踪能力。使用的项目包括与孩子年龄相对应的活动如：串珠子、用剪刀剪、复制图形、写字母和数字等。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3.5 表现该领域测试孩子视觉空间能力，包括工作的速度及准确性。测试的项目包括与孩子年龄相对应的活动如：搭建桥或楼梯，完成拼图和模型制作等。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3.6 实际推理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该领域评估孩子实际解决问题的能力，对数学基本概念的理解及有关道德和顺序问题的理解。测试的项目包括与孩子年龄相对应的活动如：数数，比较大小，形状，高矮。这个领域也测试孩子对日期的理解，视觉排序能力及对错与对的认识与理解。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 xml:space="preserve">4. 该发育评估量表在国内各大医院已投入使用，且结果显示该种发育评估量表可以有效地评估中国儿童的运动功能、学习困难程度，先天精神发育状况和发育障碍综合症，视力缺陷、自闭症、早产程度和社交/情感发育能力，并根据孩子 0 到 8 岁大脑发育各个阶段的对应标准进行可靠对比，提供实用分析，得到明确诊断结果。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val="en-US" w:eastAsia="zh-CN" w:bidi="ar"/>
        </w:rPr>
        <w:t>5.该测量表包括的工具及其材料对儿童安全无害，符合国家标准。</w:t>
      </w:r>
    </w:p>
    <w:p>
      <w:pPr>
        <w:widowControl w:val="0"/>
        <w:numPr>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p>
    <w:p>
      <w:p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五、儿童智力测试工具箱（带软件版）</w:t>
      </w:r>
    </w:p>
    <w:p>
      <w:pPr>
        <w:spacing w:line="0" w:lineRule="atLeast"/>
        <w:jc w:val="left"/>
        <w:rPr>
          <w:rFonts w:hint="eastAsia" w:ascii="方正仿宋_GBK" w:hAnsi="方正仿宋_GBK" w:eastAsia="方正仿宋_GBK" w:cs="方正仿宋_GBK"/>
          <w:sz w:val="28"/>
          <w:szCs w:val="28"/>
        </w:rPr>
      </w:pPr>
    </w:p>
    <w:p>
      <w:pPr>
        <w:autoSpaceDE w:val="0"/>
        <w:autoSpaceDN w:val="0"/>
        <w:adjustRightInd w:val="0"/>
        <w:spacing w:line="0" w:lineRule="atLeast"/>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、测定能区</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1.知识测验（I）        5.算术测验（A）          9.领悟测验（C）</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2.填图测验（PC）       6.木块图测验（BD）       10.编码测验（Cd）</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3.分类测验（So）       7.词汇测验（V）          11.数字广度测验（D）</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4.图片排列测验（PA）  8.图形拼凑测验（OA）</w:t>
      </w:r>
    </w:p>
    <w:p>
      <w:pPr>
        <w:autoSpaceDE w:val="0"/>
        <w:autoSpaceDN w:val="0"/>
        <w:adjustRightInd w:val="0"/>
        <w:spacing w:line="0" w:lineRule="atLeast"/>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、测验说明</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1.适用范围：6岁0月0天至16岁11月30天的儿童。</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2.测验时间：1小时左右。</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3.量表构成：测试内容以分测验的形式呈现，分为言语测验和操作测验两大部分，共计11个分测验。</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评分标准：韦氏智力测验的每个分测验均有独立、严谨的评分系统，根据各分测验的原始分可得出各分测验的量表分以及总量表分，查量表分等值智商转换表可得出言语智商（VIQ）、操作智商（PIQ）、总智商（FIQ）。</w:t>
      </w:r>
    </w:p>
    <w:p>
      <w:pPr>
        <w:autoSpaceDE w:val="0"/>
        <w:autoSpaceDN w:val="0"/>
        <w:adjustRightInd w:val="0"/>
        <w:spacing w:line="0"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测验评价：韦氏智力测验对儿童的认知功能进行综合评估和鉴定，鉴别智力超常和智力落后，鉴别认知能力的强项和弱项，分析儿童认知能力的内部差异，可作为鉴别中小学生的发展性障碍、智力落后、学习障碍、多动症、言语障碍、自闭症等重要辅助测量工具。</w:t>
      </w:r>
    </w:p>
    <w:p>
      <w:pPr>
        <w:autoSpaceDE w:val="0"/>
        <w:autoSpaceDN w:val="0"/>
        <w:adjustRightInd w:val="0"/>
        <w:spacing w:line="0" w:lineRule="atLeast"/>
        <w:jc w:val="left"/>
        <w:rPr>
          <w:rFonts w:hint="eastAsia" w:ascii="方正仿宋_GBK" w:hAnsi="方正仿宋_GBK" w:eastAsia="方正仿宋_GBK" w:cs="方正仿宋_GBK"/>
          <w:b/>
          <w:bCs/>
          <w:sz w:val="28"/>
          <w:szCs w:val="28"/>
          <w:lang w:eastAsia="zh-CN"/>
        </w:rPr>
      </w:pPr>
    </w:p>
    <w:p>
      <w:pPr>
        <w:autoSpaceDE w:val="0"/>
        <w:autoSpaceDN w:val="0"/>
        <w:adjustRightInd w:val="0"/>
        <w:spacing w:line="0" w:lineRule="atLeast"/>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、配置清单</w:t>
      </w:r>
    </w:p>
    <w:p>
      <w:pPr>
        <w:jc w:val="center"/>
        <w:rPr>
          <w:rFonts w:hint="eastAsia" w:ascii="方正仿宋_GBK" w:hAnsi="方正仿宋_GBK" w:eastAsia="方正仿宋_GBK" w:cs="方正仿宋_GBK"/>
          <w:b/>
          <w:bCs/>
          <w:sz w:val="28"/>
          <w:szCs w:val="28"/>
        </w:rPr>
      </w:pPr>
      <w:bookmarkStart w:id="0" w:name="_Hlk157006020"/>
      <w:r>
        <w:rPr>
          <w:rFonts w:hint="eastAsia" w:ascii="方正仿宋_GBK" w:hAnsi="方正仿宋_GBK" w:eastAsia="方正仿宋_GBK" w:cs="方正仿宋_GBK"/>
          <w:b/>
          <w:bCs/>
          <w:sz w:val="28"/>
          <w:szCs w:val="28"/>
        </w:rPr>
        <w:t>儿童智力量表装箱清单</w:t>
      </w:r>
    </w:p>
    <w:tbl>
      <w:tblPr>
        <w:tblStyle w:val="14"/>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3885"/>
        <w:gridCol w:w="961"/>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序号</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名称</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数量</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分类测验卡片</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2本</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城市和农村各1本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填图测验卡片</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2本</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城市和农村各1本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3</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木块图测验卡片</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1本</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4</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算术测验卡片</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1本</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5</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图片排列卡片</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1套</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6</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操作手册</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1本</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7</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答题卡、记录纸</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2本</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城市和农村各1本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8</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图形拼凑测验碎片摆放位置卡</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1张</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9</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词汇表</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2张</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城市和农村各1张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10</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编码测验记分键</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1张</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11</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图形拼凑测验碎片</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1包</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9套碎片城市、农村共用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12</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木块图测验立方块</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9块</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红白积木城市、农村共用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13</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算术测验用方块</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12块</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红色积木城市、农村共用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14</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秒表</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1个</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15</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铅笔</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2支</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16</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中性笔</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2支</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城市、农村共用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2"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17</w:t>
            </w:r>
          </w:p>
        </w:tc>
        <w:tc>
          <w:tcPr>
            <w:tcW w:w="3885"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工具包</w:t>
            </w:r>
          </w:p>
        </w:tc>
        <w:tc>
          <w:tcPr>
            <w:tcW w:w="961"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1个</w:t>
            </w:r>
          </w:p>
        </w:tc>
        <w:tc>
          <w:tcPr>
            <w:tcW w:w="3460" w:type="dxa"/>
            <w:vAlign w:val="center"/>
          </w:tcPr>
          <w:p>
            <w:pPr>
              <w:jc w:val="center"/>
              <w:rPr>
                <w:rFonts w:hint="eastAsia" w:ascii="方正仿宋_GBK" w:hAnsi="方正仿宋_GBK" w:eastAsia="方正仿宋_GBK" w:cs="方正仿宋_GBK"/>
                <w:sz w:val="28"/>
                <w:szCs w:val="28"/>
                <w14:ligatures w14:val="standardContextual"/>
              </w:rPr>
            </w:pPr>
            <w:r>
              <w:rPr>
                <w:rFonts w:hint="eastAsia" w:ascii="方正仿宋_GBK" w:hAnsi="方正仿宋_GBK" w:eastAsia="方正仿宋_GBK" w:cs="方正仿宋_GBK"/>
                <w:sz w:val="28"/>
                <w:szCs w:val="28"/>
                <w14:ligatures w14:val="standardContextual"/>
              </w:rPr>
              <w:t>封装</w:t>
            </w:r>
          </w:p>
        </w:tc>
      </w:tr>
      <w:bookmarkEnd w:id="0"/>
    </w:tbl>
    <w:p>
      <w:pPr>
        <w:jc w:val="left"/>
        <w:rPr>
          <w:rFonts w:hint="eastAsia" w:ascii="方正仿宋_GBK" w:hAnsi="方正仿宋_GBK" w:eastAsia="方正仿宋_GBK" w:cs="方正仿宋_GBK"/>
          <w:b/>
          <w:bCs/>
          <w:sz w:val="28"/>
          <w:szCs w:val="28"/>
        </w:rPr>
      </w:pPr>
    </w:p>
    <w:p>
      <w:pPr>
        <w:spacing w:line="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注：能自动生成发育筛查报告单</w:t>
      </w:r>
    </w:p>
    <w:p>
      <w:pPr>
        <w:widowControl w:val="0"/>
        <w:numPr>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1" w:name="_Toc10849"/>
      <w:bookmarkStart w:id="2" w:name="_Toc25522_WPSOffice_Level3"/>
      <w:bookmarkStart w:id="3" w:name="_Toc28795_WPSOffice_Level3"/>
      <w:bookmarkStart w:id="4" w:name="_Toc2494_WPSOffice_Level3"/>
      <w:bookmarkStart w:id="5" w:name="_Toc5485_WPSOffice_Level3"/>
      <w:bookmarkStart w:id="6"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1"/>
      <w:bookmarkEnd w:id="2"/>
      <w:bookmarkEnd w:id="3"/>
      <w:bookmarkEnd w:id="4"/>
      <w:bookmarkEnd w:id="5"/>
      <w:bookmarkEnd w:id="6"/>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 xml:space="preserve">（20 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7" w:name="_Toc472"/>
      <w:bookmarkStart w:id="8" w:name="_Toc26851_WPSOffice_Level1"/>
      <w:bookmarkStart w:id="9" w:name="_Toc10072"/>
      <w:bookmarkStart w:id="10" w:name="_Toc471"/>
      <w:bookmarkStart w:id="11" w:name="_Toc11043_WPSOffice_Level1"/>
      <w:bookmarkStart w:id="12" w:name="_Toc14249"/>
      <w:bookmarkStart w:id="13" w:name="_Toc9916"/>
      <w:bookmarkStart w:id="14" w:name="_Toc15113"/>
      <w:bookmarkStart w:id="15"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7"/>
      <w:bookmarkEnd w:id="8"/>
      <w:bookmarkEnd w:id="9"/>
      <w:bookmarkEnd w:id="10"/>
      <w:bookmarkEnd w:id="11"/>
      <w:bookmarkEnd w:id="12"/>
      <w:bookmarkEnd w:id="13"/>
      <w:bookmarkEnd w:id="14"/>
      <w:bookmarkEnd w:id="15"/>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6"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7"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7"/>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8"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8"/>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9"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20" w:name="_Toc12489"/>
      <w:bookmarkStart w:id="21"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20"/>
      <w:bookmarkEnd w:id="21"/>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9"/>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2" w:name="_Toc14552"/>
      <w:bookmarkStart w:id="23" w:name="_Toc7312"/>
      <w:bookmarkStart w:id="24" w:name="_Toc1891"/>
      <w:r>
        <w:rPr>
          <w:rFonts w:hint="default" w:ascii="Times New Roman" w:hAnsi="Times New Roman" w:eastAsia="仿宋" w:cs="Times New Roman"/>
          <w:b/>
          <w:color w:val="auto"/>
          <w:sz w:val="32"/>
          <w:szCs w:val="32"/>
          <w:highlight w:val="none"/>
        </w:rPr>
        <w:br w:type="page"/>
      </w:r>
    </w:p>
    <w:p>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2"/>
      <w:bookmarkEnd w:id="23"/>
      <w:bookmarkEnd w:id="24"/>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w:t>
      </w:r>
      <w:r>
        <w:rPr>
          <w:rFonts w:hint="eastAsia" w:ascii="Times New Roman" w:hAnsi="Times New Roman" w:eastAsia="仿宋" w:cs="Times New Roman"/>
          <w:color w:val="auto"/>
          <w:sz w:val="32"/>
          <w:szCs w:val="32"/>
          <w:highlight w:val="none"/>
          <w:lang w:val="en-US" w:eastAsia="zh-CN"/>
        </w:rPr>
        <w:t>提供2024年01月至今任意三个月的依法缴法纳税收和社保的完税凭证</w:t>
      </w:r>
      <w:r>
        <w:rPr>
          <w:rFonts w:hint="default" w:ascii="Times New Roman" w:hAnsi="Times New Roman" w:eastAsia="仿宋" w:cs="Times New Roman"/>
          <w:color w:val="auto"/>
          <w:sz w:val="32"/>
          <w:szCs w:val="32"/>
          <w:highlight w:val="none"/>
          <w:lang w:val="en-US" w:eastAsia="zh-CN"/>
        </w:rPr>
        <w:t>。新注册成立不足三个月的企业，应当提供书面情况说明（加盖公章）。</w:t>
      </w:r>
    </w:p>
    <w:p>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bookmarkStart w:id="25" w:name="_GoBack"/>
      <w:bookmarkEnd w:id="25"/>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abstractNum w:abstractNumId="7">
    <w:nsid w:val="59EEB07D"/>
    <w:multiLevelType w:val="singleLevel"/>
    <w:tmpl w:val="59EEB07D"/>
    <w:lvl w:ilvl="0" w:tentative="0">
      <w:start w:val="16"/>
      <w:numFmt w:val="decimal"/>
      <w:lvlText w:val="%1."/>
      <w:lvlJc w:val="left"/>
      <w:pPr>
        <w:tabs>
          <w:tab w:val="left" w:pos="312"/>
        </w:tabs>
      </w:pPr>
    </w:lvl>
  </w:abstractNum>
  <w:num w:numId="1">
    <w:abstractNumId w:val="5"/>
  </w:num>
  <w:num w:numId="2">
    <w:abstractNumId w:val="6"/>
  </w:num>
  <w:num w:numId="3">
    <w:abstractNumId w:val="7"/>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4700</Words>
  <Characters>5426</Characters>
  <Lines>15</Lines>
  <Paragraphs>4</Paragraphs>
  <TotalTime>19</TotalTime>
  <ScaleCrop>false</ScaleCrop>
  <LinksUpToDate>false</LinksUpToDate>
  <CharactersWithSpaces>6061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2024-06-20T08:32:46Z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