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2024泸西县中医医院恒温解冻箱采购项目</w:t>
      </w: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pStyle w:val="2"/>
        <w:shd w:val="clear"/>
        <w:outlineLvl w:val="9"/>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lxxzyyycg-2024-0603</w:t>
      </w: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2024泸西县中医医院恒温解冻箱采购项目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lxxzyyycg-2024-0603</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2024泸西县中医医院恒温解冻箱采购项目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20000.00元。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采购恒温解冻箱一台</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（具体参数详见第二章采购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健全的财务会计制度：提供2021年</w:t>
      </w:r>
      <w:r>
        <w:rPr>
          <w:rFonts w:hint="eastAsia" w:eastAsia="方正仿宋_GBK" w:cs="Times New Roman"/>
          <w:snapToGrid/>
          <w:color w:val="auto"/>
          <w:kern w:val="0"/>
          <w:sz w:val="32"/>
          <w:szCs w:val="32"/>
          <w:highlight w:val="none"/>
          <w:lang w:val="en-US" w:eastAsia="zh-CN" w:bidi="ar-SA"/>
        </w:rPr>
        <w:t>-</w:t>
      </w:r>
      <w:r>
        <w:rPr>
          <w:rFonts w:hint="default" w:ascii="Times New Roman" w:hAnsi="Times New Roman" w:eastAsia="方正仿宋_GBK" w:cs="Times New Roman"/>
          <w:snapToGrid/>
          <w:color w:val="auto"/>
          <w:kern w:val="0"/>
          <w:sz w:val="32"/>
          <w:szCs w:val="32"/>
          <w:highlight w:val="none"/>
          <w:lang w:val="en-US" w:eastAsia="zh-CN" w:bidi="ar-SA"/>
        </w:rPr>
        <w:t>2023年任意</w:t>
      </w:r>
      <w:r>
        <w:rPr>
          <w:rFonts w:hint="eastAsia" w:eastAsia="方正仿宋_GBK" w:cs="Times New Roman"/>
          <w:snapToGrid/>
          <w:color w:val="auto"/>
          <w:kern w:val="0"/>
          <w:sz w:val="32"/>
          <w:szCs w:val="32"/>
          <w:highlight w:val="none"/>
          <w:lang w:val="en-US" w:eastAsia="zh-CN" w:bidi="ar-SA"/>
        </w:rPr>
        <w:t>年度</w:t>
      </w:r>
      <w:r>
        <w:rPr>
          <w:rFonts w:hint="default" w:ascii="Times New Roman" w:hAnsi="Times New Roman" w:eastAsia="方正仿宋_GBK" w:cs="Times New Roman"/>
          <w:snapToGrid/>
          <w:color w:val="auto"/>
          <w:kern w:val="0"/>
          <w:sz w:val="32"/>
          <w:szCs w:val="32"/>
          <w:highlight w:val="none"/>
          <w:lang w:val="en-US" w:eastAsia="zh-CN" w:bidi="ar-SA"/>
        </w:rPr>
        <w:t>的财务报告及财务报表（包括资产负债表、现金流量表和利润表），如果是</w:t>
      </w:r>
      <w:r>
        <w:rPr>
          <w:rFonts w:hint="eastAsia" w:eastAsia="方正仿宋_GBK" w:cs="Times New Roman"/>
          <w:snapToGrid/>
          <w:color w:val="auto"/>
          <w:kern w:val="0"/>
          <w:sz w:val="32"/>
          <w:szCs w:val="32"/>
          <w:highlight w:val="none"/>
          <w:lang w:val="en-US" w:eastAsia="zh-CN" w:bidi="ar-SA"/>
        </w:rPr>
        <w:t>2024年</w:t>
      </w:r>
      <w:r>
        <w:rPr>
          <w:rFonts w:hint="default" w:ascii="Times New Roman" w:hAnsi="Times New Roman" w:eastAsia="方正仿宋_GBK" w:cs="Times New Roman"/>
          <w:snapToGrid/>
          <w:color w:val="auto"/>
          <w:kern w:val="0"/>
          <w:sz w:val="32"/>
          <w:szCs w:val="32"/>
          <w:highlight w:val="none"/>
          <w:lang w:val="en-US" w:eastAsia="zh-CN" w:bidi="ar-SA"/>
        </w:rPr>
        <w:t>新成立的企业提供开户银行出具的资信证明或存款证明（加盖公章）（加盖公章）。</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有依法缴纳税收和社会保障资金的良好记录，提供2023年01月至今任意三个月的依法缴法纳税收和社保的完税凭证。新注册成立不足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的企业，应当提供书面情况说明（加盖公章）。</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pPr>
        <w:pStyle w:val="11"/>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Chars="200" w:right="0" w:rightChars="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snapToGrid/>
          <w:color w:val="auto"/>
          <w:kern w:val="0"/>
          <w:sz w:val="32"/>
          <w:szCs w:val="32"/>
          <w:highlight w:val="none"/>
          <w:lang w:val="en-US" w:eastAsia="zh-CN" w:bidi="ar-SA"/>
        </w:rPr>
        <w:t>2024年</w:t>
      </w:r>
      <w:r>
        <w:rPr>
          <w:rFonts w:hint="eastAsia" w:ascii="Times New Roman" w:hAnsi="Times New Roman" w:eastAsia="方正仿宋_GBK" w:cs="Times New Roman"/>
          <w:snapToGrid/>
          <w:color w:val="auto"/>
          <w:kern w:val="0"/>
          <w:sz w:val="32"/>
          <w:szCs w:val="32"/>
          <w:highlight w:val="none"/>
          <w:lang w:val="en-US" w:eastAsia="zh-CN" w:bidi="ar-SA"/>
        </w:rPr>
        <w:t>06</w:t>
      </w:r>
      <w:r>
        <w:rPr>
          <w:rFonts w:hint="default" w:ascii="Times New Roman" w:hAnsi="Times New Roman" w:eastAsia="方正仿宋_GBK" w:cs="Times New Roman"/>
          <w:snapToGrid/>
          <w:color w:val="auto"/>
          <w:kern w:val="0"/>
          <w:sz w:val="32"/>
          <w:szCs w:val="32"/>
          <w:highlight w:val="none"/>
          <w:lang w:val="en-US" w:eastAsia="zh-CN" w:bidi="ar-SA"/>
        </w:rPr>
        <w:t>月</w:t>
      </w:r>
      <w:r>
        <w:rPr>
          <w:rFonts w:hint="eastAsia" w:ascii="Times New Roman" w:hAnsi="Times New Roman" w:eastAsia="方正仿宋_GBK" w:cs="Times New Roman"/>
          <w:snapToGrid/>
          <w:color w:val="auto"/>
          <w:kern w:val="0"/>
          <w:sz w:val="32"/>
          <w:szCs w:val="32"/>
          <w:highlight w:val="none"/>
          <w:lang w:val="en-US" w:eastAsia="zh-CN" w:bidi="ar-SA"/>
        </w:rPr>
        <w:t>20</w:t>
      </w:r>
      <w:r>
        <w:rPr>
          <w:rFonts w:hint="default" w:ascii="Times New Roman" w:hAnsi="Times New Roman" w:eastAsia="方正仿宋_GBK" w:cs="Times New Roman"/>
          <w:snapToGrid/>
          <w:color w:val="auto"/>
          <w:kern w:val="0"/>
          <w:sz w:val="32"/>
          <w:szCs w:val="32"/>
          <w:highlight w:val="none"/>
          <w:lang w:val="en-US" w:eastAsia="zh-CN" w:bidi="ar-SA"/>
        </w:rPr>
        <w:t>日前，将响应文件盖章</w:t>
      </w:r>
      <w:r>
        <w:rPr>
          <w:rFonts w:hint="eastAsia" w:ascii="Times New Roman" w:hAnsi="Times New Roman" w:eastAsia="方正仿宋_GBK" w:cs="Times New Roman"/>
          <w:snapToGrid/>
          <w:color w:val="auto"/>
          <w:kern w:val="0"/>
          <w:sz w:val="32"/>
          <w:szCs w:val="32"/>
          <w:highlight w:val="none"/>
          <w:lang w:val="en-US" w:eastAsia="zh-CN" w:bidi="ar-SA"/>
        </w:rPr>
        <w:t>扫描</w:t>
      </w:r>
      <w:r>
        <w:rPr>
          <w:rFonts w:hint="default" w:ascii="Times New Roman" w:hAnsi="Times New Roman" w:eastAsia="方正仿宋_GBK" w:cs="Times New Roman"/>
          <w:snapToGrid/>
          <w:color w:val="auto"/>
          <w:kern w:val="0"/>
          <w:sz w:val="32"/>
          <w:szCs w:val="32"/>
          <w:highlight w:val="none"/>
          <w:lang w:val="en-US" w:eastAsia="zh-CN" w:bidi="ar-SA"/>
        </w:rPr>
        <w:t>后发送至邮箱（lxxzyyy120@163.com）。</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eastAsia="方正仿宋_GBK" w:cs="Times New Roman"/>
          <w:i w:val="0"/>
          <w:iCs w:val="0"/>
          <w:caps w:val="0"/>
          <w:color w:val="auto"/>
          <w:spacing w:val="0"/>
          <w:sz w:val="31"/>
          <w:szCs w:val="31"/>
          <w:highlight w:val="none"/>
          <w:shd w:val="clear" w:fill="FFFFFF"/>
          <w:lang w:val="en-US" w:eastAsia="zh-CN"/>
        </w:rPr>
        <w:t>0873-6940686</w:t>
      </w:r>
    </w:p>
    <w:p>
      <w:pPr>
        <w:shd w:val="clear"/>
        <w:rPr>
          <w:rFonts w:hint="default" w:ascii="Times New Roman" w:hAnsi="Times New Roman" w:cs="Times New Roman"/>
          <w:color w:val="auto"/>
          <w:highlight w:val="none"/>
        </w:rPr>
      </w:pP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p>
      <w:pPr>
        <w:ind w:firstLine="1365" w:firstLineChars="650"/>
        <w:rPr>
          <w:rFonts w:hint="eastAsia"/>
          <w:color w:val="auto"/>
        </w:rPr>
      </w:pPr>
    </w:p>
    <w:p>
      <w:pPr>
        <w:jc w:val="center"/>
        <w:rPr>
          <w:rFonts w:hint="eastAsia" w:ascii="黑体" w:hAnsi="黑体" w:eastAsia="黑体"/>
          <w:b w:val="0"/>
          <w:bCs/>
          <w:snapToGrid/>
          <w:color w:val="auto"/>
          <w:sz w:val="40"/>
          <w:szCs w:val="32"/>
          <w:lang w:val="en-US" w:eastAsia="zh-CN"/>
        </w:rPr>
      </w:pPr>
      <w:r>
        <w:rPr>
          <w:rFonts w:hint="eastAsia" w:ascii="方正小标宋_GBK" w:hAnsi="方正小标宋_GBK" w:eastAsia="方正小标宋_GBK" w:cs="方正小标宋_GBK"/>
          <w:b w:val="0"/>
          <w:bCs/>
          <w:snapToGrid/>
          <w:color w:val="auto"/>
          <w:sz w:val="40"/>
          <w:szCs w:val="32"/>
          <w:lang w:val="en-US" w:eastAsia="zh-CN"/>
        </w:rPr>
        <w:t>恒温解冻箱技术参数</w:t>
      </w:r>
    </w:p>
    <w:p>
      <w:pPr>
        <w:keepNext w:val="0"/>
        <w:keepLines w:val="0"/>
        <w:pageBreakBefore w:val="0"/>
        <w:widowControl/>
        <w:numPr>
          <w:ilvl w:val="0"/>
          <w:numId w:val="3"/>
        </w:numPr>
        <w:suppressLineNumbers w:val="0"/>
        <w:kinsoku/>
        <w:wordWrap/>
        <w:overflowPunct/>
        <w:topLinePunct w:val="0"/>
        <w:autoSpaceDE/>
        <w:bidi w:val="0"/>
        <w:adjustRightInd/>
        <w:snapToGrid/>
        <w:spacing w:line="240" w:lineRule="auto"/>
        <w:ind w:left="425" w:leftChars="0" w:hanging="425" w:firstLineChars="0"/>
        <w:jc w:val="both"/>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信息的完整记录和质控数据的溯源</w:t>
      </w:r>
    </w:p>
    <w:p>
      <w:pPr>
        <w:keepNext w:val="0"/>
        <w:keepLines w:val="0"/>
        <w:pageBreakBefore w:val="0"/>
        <w:widowControl/>
        <w:numPr>
          <w:ilvl w:val="0"/>
          <w:numId w:val="4"/>
        </w:numPr>
        <w:suppressLineNumbers w:val="0"/>
        <w:kinsoku/>
        <w:wordWrap/>
        <w:overflowPunct/>
        <w:topLinePunct w:val="0"/>
        <w:autoSpaceDE/>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实时记录水温以及融浆温度并自动储存，通过USB接口导出数据，便于质量管理与数据溯源。</w:t>
      </w:r>
    </w:p>
    <w:p>
      <w:pPr>
        <w:keepNext w:val="0"/>
        <w:keepLines w:val="0"/>
        <w:pageBreakBefore w:val="0"/>
        <w:widowControl/>
        <w:numPr>
          <w:ilvl w:val="0"/>
          <w:numId w:val="4"/>
        </w:numPr>
        <w:suppressLineNumbers w:val="0"/>
        <w:kinsoku/>
        <w:wordWrap/>
        <w:overflowPunct/>
        <w:topLinePunct w:val="0"/>
        <w:autoSpaceDE/>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设备可实时显示温度/时间的动态变化曲线，具有超温断电和低水位保护功能。</w:t>
      </w:r>
    </w:p>
    <w:p>
      <w:pPr>
        <w:keepNext w:val="0"/>
        <w:keepLines w:val="0"/>
        <w:pageBreakBefore w:val="0"/>
        <w:widowControl/>
        <w:numPr>
          <w:ilvl w:val="0"/>
          <w:numId w:val="4"/>
        </w:numPr>
        <w:suppressLineNumbers w:val="0"/>
        <w:kinsoku/>
        <w:wordWrap/>
        <w:overflowPunct/>
        <w:topLinePunct w:val="0"/>
        <w:autoSpaceDE/>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可设置多种解冻模式，默认解冻，连续解冻等，还适用于纤维粘合剂、医用冰冻制品、手术室麻醉剂的恒温加热</w:t>
      </w:r>
    </w:p>
    <w:p>
      <w:pPr>
        <w:keepNext w:val="0"/>
        <w:keepLines w:val="0"/>
        <w:pageBreakBefore w:val="0"/>
        <w:widowControl/>
        <w:numPr>
          <w:ilvl w:val="0"/>
          <w:numId w:val="3"/>
        </w:numPr>
        <w:suppressLineNumbers w:val="0"/>
        <w:kinsoku/>
        <w:wordWrap/>
        <w:overflowPunct/>
        <w:topLinePunct w:val="0"/>
        <w:autoSpaceDE/>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完善严格的温度控制系统</w:t>
      </w:r>
    </w:p>
    <w:p>
      <w:pPr>
        <w:keepNext w:val="0"/>
        <w:keepLines w:val="0"/>
        <w:pageBreakBefore w:val="0"/>
        <w:widowControl/>
        <w:numPr>
          <w:ilvl w:val="0"/>
          <w:numId w:val="3"/>
        </w:numPr>
        <w:suppressLineNumbers w:val="0"/>
        <w:kinsoku/>
        <w:wordWrap/>
        <w:overflowPunct/>
        <w:topLinePunct w:val="0"/>
        <w:autoSpaceDE/>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采用IPS高清触摸</w:t>
      </w:r>
      <w:r>
        <w:rPr>
          <w:rFonts w:hint="default" w:ascii="Times New Roman" w:hAnsi="Times New Roman" w:eastAsia="方正仿宋_GBK" w:cs="Times New Roman"/>
          <w:snapToGrid/>
          <w:color w:val="auto"/>
          <w:kern w:val="0"/>
          <w:sz w:val="32"/>
          <w:szCs w:val="32"/>
          <w:highlight w:val="none"/>
          <w:lang w:val="en-US" w:eastAsia="zh-CN" w:bidi="ar-SA"/>
        </w:rPr>
        <w:t>显示系统,线路控制更为准确、直观、可靠,温度始终控制在安全解冻范围内,从加加热系统到管路系统,做到精确控制。</w:t>
      </w:r>
    </w:p>
    <w:p>
      <w:pPr>
        <w:keepNext w:val="0"/>
        <w:keepLines w:val="0"/>
        <w:pageBreakBefore w:val="0"/>
        <w:widowControl/>
        <w:numPr>
          <w:ilvl w:val="0"/>
          <w:numId w:val="3"/>
        </w:numPr>
        <w:suppressLineNumbers w:val="0"/>
        <w:kinsoku/>
        <w:wordWrap/>
        <w:overflowPunct/>
        <w:topLinePunct w:val="0"/>
        <w:autoSpaceDE/>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快速安全可靠的加热系统</w:t>
      </w:r>
    </w:p>
    <w:p>
      <w:pPr>
        <w:keepNext w:val="0"/>
        <w:keepLines w:val="0"/>
        <w:pageBreakBefore w:val="0"/>
        <w:widowControl/>
        <w:numPr>
          <w:ilvl w:val="0"/>
          <w:numId w:val="3"/>
        </w:numPr>
        <w:suppressLineNumbers w:val="0"/>
        <w:kinsoku/>
        <w:wordWrap/>
        <w:overflowPunct/>
        <w:topLinePunct w:val="0"/>
        <w:autoSpaceDE/>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设备采用厚膜即热式加热系统,加热速度快且稳定,从常温加热到37℃需要10-12分钟,使用安全,由于该加热系统,采用水电分离,加热装置不直接和水接触,避免了加热管漏电造成设备故障和人员伤害</w:t>
      </w:r>
    </w:p>
    <w:p>
      <w:pPr>
        <w:keepNext w:val="0"/>
        <w:keepLines w:val="0"/>
        <w:pageBreakBefore w:val="0"/>
        <w:widowControl/>
        <w:numPr>
          <w:ilvl w:val="0"/>
          <w:numId w:val="3"/>
        </w:numPr>
        <w:suppressLineNumbers w:val="0"/>
        <w:kinsoku/>
        <w:wordWrap/>
        <w:overflowPunct/>
        <w:topLinePunct w:val="0"/>
        <w:autoSpaceDE/>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设备具有</w:t>
      </w:r>
      <w:r>
        <w:rPr>
          <w:rFonts w:hint="eastAsia" w:ascii="Times New Roman" w:hAnsi="Times New Roman" w:eastAsia="方正仿宋_GBK" w:cs="Times New Roman"/>
          <w:snapToGrid/>
          <w:color w:val="auto"/>
          <w:kern w:val="0"/>
          <w:sz w:val="32"/>
          <w:szCs w:val="32"/>
          <w:highlight w:val="none"/>
          <w:lang w:val="en-US" w:eastAsia="zh-CN" w:bidi="ar-SA"/>
        </w:rPr>
        <w:t>自动进水和</w:t>
      </w:r>
      <w:r>
        <w:rPr>
          <w:rFonts w:hint="default" w:ascii="Times New Roman" w:hAnsi="Times New Roman" w:eastAsia="方正仿宋_GBK" w:cs="Times New Roman"/>
          <w:snapToGrid/>
          <w:color w:val="auto"/>
          <w:kern w:val="0"/>
          <w:sz w:val="32"/>
          <w:szCs w:val="32"/>
          <w:highlight w:val="none"/>
          <w:lang w:val="en-US" w:eastAsia="zh-CN" w:bidi="ar-SA"/>
        </w:rPr>
        <w:t>上排水功能,工作室无需地漏</w:t>
      </w:r>
      <w:r>
        <w:rPr>
          <w:rFonts w:hint="eastAsia" w:ascii="Times New Roman" w:hAnsi="Times New Roman" w:eastAsia="方正仿宋_GBK" w:cs="Times New Roman"/>
          <w:snapToGrid/>
          <w:color w:val="auto"/>
          <w:kern w:val="0"/>
          <w:sz w:val="32"/>
          <w:szCs w:val="32"/>
          <w:highlight w:val="none"/>
          <w:lang w:val="en-US" w:eastAsia="zh-CN" w:bidi="ar-SA"/>
        </w:rPr>
        <w:t>，解冻完成后自动控干血袋。</w:t>
      </w:r>
    </w:p>
    <w:p>
      <w:pPr>
        <w:keepNext w:val="0"/>
        <w:keepLines w:val="0"/>
        <w:pageBreakBefore w:val="0"/>
        <w:widowControl/>
        <w:numPr>
          <w:ilvl w:val="0"/>
          <w:numId w:val="3"/>
        </w:numPr>
        <w:suppressLineNumbers w:val="0"/>
        <w:kinsoku/>
        <w:wordWrap/>
        <w:overflowPunct/>
        <w:topLinePunct w:val="0"/>
        <w:autoSpaceDE/>
        <w:bidi w:val="0"/>
        <w:adjustRightInd/>
        <w:snapToGrid/>
        <w:spacing w:line="240" w:lineRule="auto"/>
        <w:ind w:left="425" w:leftChars="0" w:hanging="425" w:firstLineChars="0"/>
        <w:jc w:val="both"/>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自动清洗功能</w:t>
      </w:r>
    </w:p>
    <w:p>
      <w:pPr>
        <w:keepNext w:val="0"/>
        <w:keepLines w:val="0"/>
        <w:pageBreakBefore w:val="0"/>
        <w:widowControl/>
        <w:numPr>
          <w:ilvl w:val="0"/>
          <w:numId w:val="3"/>
        </w:numPr>
        <w:suppressLineNumbers w:val="0"/>
        <w:kinsoku/>
        <w:wordWrap/>
        <w:overflowPunct/>
        <w:topLinePunct w:val="0"/>
        <w:autoSpaceDE/>
        <w:bidi w:val="0"/>
        <w:adjustRightInd/>
        <w:snapToGrid/>
        <w:spacing w:line="240" w:lineRule="auto"/>
        <w:ind w:left="425" w:leftChars="0" w:hanging="425" w:firstLineChars="0"/>
        <w:jc w:val="both"/>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设备具有自动清洗功能,可一键操作,清洗完成后,程序自动加热完成,进入待机使用状态中,无需人员值守,方便使用。</w:t>
      </w:r>
    </w:p>
    <w:p>
      <w:pPr>
        <w:keepNext w:val="0"/>
        <w:keepLines w:val="0"/>
        <w:pageBreakBefore w:val="0"/>
        <w:widowControl/>
        <w:numPr>
          <w:ilvl w:val="0"/>
          <w:numId w:val="3"/>
        </w:numPr>
        <w:suppressLineNumbers w:val="0"/>
        <w:kinsoku/>
        <w:wordWrap/>
        <w:overflowPunct/>
        <w:topLinePunct w:val="0"/>
        <w:autoSpaceDE/>
        <w:bidi w:val="0"/>
        <w:adjustRightInd/>
        <w:snapToGrid/>
        <w:spacing w:line="240" w:lineRule="auto"/>
        <w:ind w:left="425" w:leftChars="0" w:hanging="425" w:firstLineChars="0"/>
        <w:jc w:val="both"/>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解冻隔栏可自由调节</w:t>
      </w:r>
    </w:p>
    <w:p>
      <w:pPr>
        <w:keepNext w:val="0"/>
        <w:keepLines w:val="0"/>
        <w:pageBreakBefore w:val="0"/>
        <w:widowControl/>
        <w:numPr>
          <w:ilvl w:val="0"/>
          <w:numId w:val="3"/>
        </w:numPr>
        <w:suppressLineNumbers w:val="0"/>
        <w:kinsoku/>
        <w:wordWrap/>
        <w:overflowPunct/>
        <w:topLinePunct w:val="0"/>
        <w:autoSpaceDE/>
        <w:bidi w:val="0"/>
        <w:adjustRightInd/>
        <w:snapToGrid/>
        <w:spacing w:line="240" w:lineRule="auto"/>
        <w:ind w:left="425" w:leftChars="0" w:hanging="425" w:firstLineChars="0"/>
        <w:jc w:val="both"/>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放置血浆的解冻隔栏可以根据血浆袋容量的大小,自由调节组合间隔的距离,极大地方便了临床使用。</w:t>
      </w:r>
    </w:p>
    <w:p>
      <w:pPr>
        <w:keepNext w:val="0"/>
        <w:keepLines w:val="0"/>
        <w:pageBreakBefore w:val="0"/>
        <w:widowControl/>
        <w:numPr>
          <w:ilvl w:val="0"/>
          <w:numId w:val="3"/>
        </w:numPr>
        <w:suppressLineNumbers w:val="0"/>
        <w:kinsoku/>
        <w:wordWrap/>
        <w:overflowPunct/>
        <w:topLinePunct w:val="0"/>
        <w:autoSpaceDE/>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采用无刷直流水泵，运转无噪音，使用时间长，水箱为分体式不锈钢材质，方便后期的清洗维护。</w:t>
      </w:r>
    </w:p>
    <w:p>
      <w:pPr>
        <w:keepNext w:val="0"/>
        <w:keepLines w:val="0"/>
        <w:pageBreakBefore w:val="0"/>
        <w:numPr>
          <w:ilvl w:val="0"/>
          <w:numId w:val="3"/>
        </w:numPr>
        <w:kinsoku/>
        <w:wordWrap/>
        <w:overflowPunct/>
        <w:topLinePunct w:val="0"/>
        <w:autoSpaceDE/>
        <w:autoSpaceDN w:val="0"/>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选配功能：</w:t>
      </w:r>
    </w:p>
    <w:p>
      <w:pPr>
        <w:keepNext w:val="0"/>
        <w:keepLines w:val="0"/>
        <w:pageBreakBefore w:val="0"/>
        <w:numPr>
          <w:ilvl w:val="0"/>
          <w:numId w:val="5"/>
        </w:numPr>
        <w:kinsoku/>
        <w:wordWrap/>
        <w:overflowPunct/>
        <w:topLinePunct w:val="0"/>
        <w:autoSpaceDE/>
        <w:autoSpaceDN w:val="0"/>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消毒杀菌系统</w:t>
      </w:r>
    </w:p>
    <w:p>
      <w:pPr>
        <w:keepNext w:val="0"/>
        <w:keepLines w:val="0"/>
        <w:pageBreakBefore w:val="0"/>
        <w:numPr>
          <w:ilvl w:val="0"/>
          <w:numId w:val="5"/>
        </w:numPr>
        <w:kinsoku/>
        <w:wordWrap/>
        <w:overflowPunct/>
        <w:topLinePunct w:val="0"/>
        <w:autoSpaceDE/>
        <w:autoSpaceDN w:val="0"/>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设备具有UV-C紫外线消毒杀菌系统,灭菌率高达99.99%。该系统每天自动定时杀菌消毒,也可以根据需要随时手动开启杀菌消毒,大大降低和预防血袋由于解冻过程中细菌污染造成不良事故。</w:t>
      </w:r>
    </w:p>
    <w:p>
      <w:pPr>
        <w:keepNext w:val="0"/>
        <w:keepLines w:val="0"/>
        <w:pageBreakBefore w:val="0"/>
        <w:numPr>
          <w:ilvl w:val="0"/>
          <w:numId w:val="5"/>
        </w:numPr>
        <w:kinsoku/>
        <w:wordWrap/>
        <w:overflowPunct/>
        <w:topLinePunct w:val="0"/>
        <w:autoSpaceDE/>
        <w:autoSpaceDN w:val="0"/>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设备配有扫码枪,对血浆袋条码进行扫描，录入数据,有效识别信息来源。</w:t>
      </w:r>
    </w:p>
    <w:p>
      <w:pPr>
        <w:keepNext w:val="0"/>
        <w:keepLines w:val="0"/>
        <w:pageBreakBefore w:val="0"/>
        <w:numPr>
          <w:ilvl w:val="0"/>
          <w:numId w:val="5"/>
        </w:numPr>
        <w:kinsoku/>
        <w:wordWrap/>
        <w:overflowPunct/>
        <w:topLinePunct w:val="0"/>
        <w:autoSpaceDE/>
        <w:autoSpaceDN w:val="0"/>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设备可加装自动除垢装置，避免水垢形成后堵塞循环系统。</w:t>
      </w:r>
    </w:p>
    <w:p>
      <w:pPr>
        <w:keepNext w:val="0"/>
        <w:keepLines w:val="0"/>
        <w:pageBreakBefore w:val="0"/>
        <w:numPr>
          <w:ilvl w:val="0"/>
          <w:numId w:val="5"/>
        </w:numPr>
        <w:kinsoku/>
        <w:wordWrap/>
        <w:overflowPunct/>
        <w:topLinePunct w:val="0"/>
        <w:autoSpaceDE/>
        <w:autoSpaceDN w:val="0"/>
        <w:bidi w:val="0"/>
        <w:adjustRightInd/>
        <w:snapToGrid/>
        <w:spacing w:line="240" w:lineRule="auto"/>
        <w:ind w:left="425" w:leftChars="0" w:hanging="425" w:firstLineChars="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设备可加装无线监控系统，当前温度超过设定温度时，云平台会自动发送信息给设定好的用户。</w:t>
      </w:r>
    </w:p>
    <w:p>
      <w:pPr>
        <w:keepNext w:val="0"/>
        <w:keepLines w:val="0"/>
        <w:pageBreakBefore w:val="0"/>
        <w:numPr>
          <w:ilvl w:val="0"/>
          <w:numId w:val="3"/>
        </w:numPr>
        <w:kinsoku/>
        <w:wordWrap/>
        <w:overflowPunct/>
        <w:topLinePunct w:val="0"/>
        <w:autoSpaceDE/>
        <w:autoSpaceDN w:val="0"/>
        <w:bidi w:val="0"/>
        <w:adjustRightInd/>
        <w:snapToGrid/>
        <w:spacing w:line="240" w:lineRule="auto"/>
        <w:ind w:left="425" w:leftChars="0" w:hanging="425" w:firstLineChars="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解冻方式：水浴式</w:t>
      </w:r>
    </w:p>
    <w:p>
      <w:pPr>
        <w:keepNext w:val="0"/>
        <w:keepLines w:val="0"/>
        <w:pageBreakBefore w:val="0"/>
        <w:numPr>
          <w:ilvl w:val="0"/>
          <w:numId w:val="3"/>
        </w:numPr>
        <w:kinsoku/>
        <w:wordWrap/>
        <w:overflowPunct/>
        <w:topLinePunct w:val="0"/>
        <w:autoSpaceDE/>
        <w:autoSpaceDN w:val="0"/>
        <w:bidi w:val="0"/>
        <w:adjustRightInd/>
        <w:snapToGrid/>
        <w:spacing w:line="240" w:lineRule="auto"/>
        <w:ind w:left="425" w:leftChars="0" w:hanging="425" w:firstLineChars="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存水量：35kg±5%</w:t>
      </w:r>
    </w:p>
    <w:p>
      <w:pPr>
        <w:keepNext w:val="0"/>
        <w:keepLines w:val="0"/>
        <w:pageBreakBefore w:val="0"/>
        <w:numPr>
          <w:ilvl w:val="0"/>
          <w:numId w:val="3"/>
        </w:numPr>
        <w:kinsoku/>
        <w:wordWrap/>
        <w:overflowPunct/>
        <w:topLinePunct w:val="0"/>
        <w:autoSpaceDE/>
        <w:autoSpaceDN w:val="0"/>
        <w:bidi w:val="0"/>
        <w:adjustRightInd/>
        <w:snapToGrid/>
        <w:spacing w:line="240" w:lineRule="auto"/>
        <w:ind w:left="425" w:leftChars="0" w:hanging="425" w:firstLineChars="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循环能力：30L/min</w:t>
      </w:r>
    </w:p>
    <w:p>
      <w:pPr>
        <w:keepNext w:val="0"/>
        <w:keepLines w:val="0"/>
        <w:pageBreakBefore w:val="0"/>
        <w:numPr>
          <w:ilvl w:val="0"/>
          <w:numId w:val="3"/>
        </w:numPr>
        <w:kinsoku/>
        <w:wordWrap/>
        <w:overflowPunct/>
        <w:topLinePunct w:val="0"/>
        <w:autoSpaceDE/>
        <w:autoSpaceDN w:val="0"/>
        <w:bidi w:val="0"/>
        <w:adjustRightInd/>
        <w:snapToGrid/>
        <w:spacing w:line="240" w:lineRule="auto"/>
        <w:ind w:left="425" w:leftChars="0" w:hanging="425" w:firstLineChars="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控制范围：室温︿60℃</w:t>
      </w:r>
    </w:p>
    <w:p>
      <w:pPr>
        <w:keepNext w:val="0"/>
        <w:keepLines w:val="0"/>
        <w:pageBreakBefore w:val="0"/>
        <w:numPr>
          <w:ilvl w:val="0"/>
          <w:numId w:val="3"/>
        </w:numPr>
        <w:kinsoku/>
        <w:wordWrap/>
        <w:overflowPunct/>
        <w:topLinePunct w:val="0"/>
        <w:autoSpaceDE/>
        <w:autoSpaceDN w:val="0"/>
        <w:bidi w:val="0"/>
        <w:adjustRightInd/>
        <w:snapToGrid/>
        <w:spacing w:line="240" w:lineRule="auto"/>
        <w:ind w:left="425" w:leftChars="0" w:hanging="425" w:firstLineChars="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控温精度：±0.1℃</w:t>
      </w:r>
    </w:p>
    <w:p>
      <w:pPr>
        <w:keepNext w:val="0"/>
        <w:keepLines w:val="0"/>
        <w:pageBreakBefore w:val="0"/>
        <w:numPr>
          <w:ilvl w:val="0"/>
          <w:numId w:val="3"/>
        </w:numPr>
        <w:kinsoku/>
        <w:wordWrap/>
        <w:overflowPunct/>
        <w:topLinePunct w:val="0"/>
        <w:autoSpaceDE/>
        <w:autoSpaceDN w:val="0"/>
        <w:bidi w:val="0"/>
        <w:adjustRightInd/>
        <w:snapToGrid/>
        <w:spacing w:line="240" w:lineRule="auto"/>
        <w:ind w:left="425" w:leftChars="0" w:hanging="425" w:firstLineChars="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加热功率：2200W</w:t>
      </w:r>
    </w:p>
    <w:p>
      <w:pPr>
        <w:keepNext w:val="0"/>
        <w:keepLines w:val="0"/>
        <w:pageBreakBefore w:val="0"/>
        <w:numPr>
          <w:ilvl w:val="0"/>
          <w:numId w:val="3"/>
        </w:numPr>
        <w:kinsoku/>
        <w:wordWrap/>
        <w:overflowPunct/>
        <w:topLinePunct w:val="0"/>
        <w:autoSpaceDE/>
        <w:autoSpaceDN w:val="0"/>
        <w:bidi w:val="0"/>
        <w:adjustRightInd/>
        <w:snapToGrid/>
        <w:spacing w:line="240" w:lineRule="auto"/>
        <w:ind w:left="425" w:leftChars="0" w:hanging="425" w:firstLineChars="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适合化浆量：10袋</w:t>
      </w:r>
    </w:p>
    <w:p>
      <w:pPr>
        <w:keepNext w:val="0"/>
        <w:keepLines w:val="0"/>
        <w:pageBreakBefore w:val="0"/>
        <w:numPr>
          <w:ilvl w:val="0"/>
          <w:numId w:val="3"/>
        </w:numPr>
        <w:kinsoku/>
        <w:wordWrap/>
        <w:overflowPunct/>
        <w:topLinePunct w:val="0"/>
        <w:autoSpaceDE/>
        <w:autoSpaceDN w:val="0"/>
        <w:bidi w:val="0"/>
        <w:adjustRightInd/>
        <w:snapToGrid/>
        <w:spacing w:line="240" w:lineRule="auto"/>
        <w:ind w:left="425" w:leftChars="0" w:hanging="425" w:firstLineChars="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最大化浆量：15袋</w:t>
      </w:r>
    </w:p>
    <w:p>
      <w:pPr>
        <w:keepNext w:val="0"/>
        <w:keepLines w:val="0"/>
        <w:pageBreakBefore w:val="0"/>
        <w:numPr>
          <w:ilvl w:val="0"/>
          <w:numId w:val="3"/>
        </w:numPr>
        <w:kinsoku/>
        <w:wordWrap/>
        <w:overflowPunct/>
        <w:topLinePunct w:val="0"/>
        <w:autoSpaceDE/>
        <w:autoSpaceDN w:val="0"/>
        <w:bidi w:val="0"/>
        <w:adjustRightInd/>
        <w:snapToGrid/>
        <w:spacing w:line="240" w:lineRule="auto"/>
        <w:ind w:left="425" w:leftChars="0" w:hanging="425" w:firstLineChars="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解冻时间：10-15分钟</w:t>
      </w:r>
    </w:p>
    <w:p>
      <w:pPr>
        <w:keepNext w:val="0"/>
        <w:keepLines w:val="0"/>
        <w:pageBreakBefore w:val="0"/>
        <w:numPr>
          <w:ilvl w:val="0"/>
          <w:numId w:val="3"/>
        </w:numPr>
        <w:kinsoku/>
        <w:wordWrap/>
        <w:overflowPunct/>
        <w:topLinePunct w:val="0"/>
        <w:autoSpaceDE/>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箱体外观尺寸：57cm*49cm*96cm（长*宽*高）</w:t>
      </w:r>
    </w:p>
    <w:p>
      <w:pPr>
        <w:keepNext w:val="0"/>
        <w:keepLines w:val="0"/>
        <w:pageBreakBefore w:val="0"/>
        <w:numPr>
          <w:ilvl w:val="0"/>
          <w:numId w:val="3"/>
        </w:numPr>
        <w:kinsoku/>
        <w:wordWrap/>
        <w:overflowPunct/>
        <w:topLinePunct w:val="0"/>
        <w:autoSpaceDE/>
        <w:bidi w:val="0"/>
        <w:adjustRightInd/>
        <w:snapToGrid/>
        <w:spacing w:line="240" w:lineRule="auto"/>
        <w:ind w:left="425" w:leftChars="0" w:hanging="425" w:firstLineChars="0"/>
        <w:jc w:val="both"/>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净重/毛重：44/60Kg</w:t>
      </w:r>
    </w:p>
    <w:p>
      <w:pPr>
        <w:keepNext w:val="0"/>
        <w:keepLines w:val="0"/>
        <w:pageBreakBefore w:val="0"/>
        <w:tabs>
          <w:tab w:val="left" w:pos="2214"/>
        </w:tabs>
        <w:kinsoku/>
        <w:wordWrap/>
        <w:overflowPunct/>
        <w:topLinePunct w:val="0"/>
        <w:autoSpaceDE/>
        <w:bidi w:val="0"/>
        <w:adjustRightInd/>
        <w:snapToGrid/>
        <w:spacing w:line="240" w:lineRule="auto"/>
        <w:jc w:val="left"/>
        <w:textAlignment w:val="auto"/>
        <w:rPr>
          <w:rFonts w:hint="eastAsia" w:ascii="微软雅黑" w:hAnsi="微软雅黑" w:eastAsia="微软雅黑"/>
          <w:b w:val="0"/>
          <w:bCs w:val="0"/>
          <w:color w:val="auto"/>
          <w:sz w:val="24"/>
          <w:szCs w:val="24"/>
          <w:lang w:eastAsia="zh-CN"/>
        </w:rPr>
      </w:pPr>
    </w:p>
    <w:p>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6"/>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pPr>
        <w:pStyle w:val="6"/>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 xml:space="preserve">一、售后服务保障 （20 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人需求的，得 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 xml:space="preserve">得1-10分。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二、质量承诺及保证措施（满分 20 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1、质量承诺及保证措施具体、详细且有具体的违约责任承诺，对货物质量及安装工作质量有具体、详细、针对性较强的保证措施的，得13-20分；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2、质量承诺及保证措施得当且有一定的违约责任承诺，对货物质量及安装工作质量有一定针对性、合理性的保证措施的，得6-12分；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3、质量承诺及保证措施不具体且违约责任承诺不具体，对货物质量及安装工作质量无针对性及合理性的，得1-5分。</w:t>
      </w:r>
    </w:p>
    <w:p>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pPr>
        <w:shd w:val="clear"/>
        <w:rPr>
          <w:rFonts w:hint="default" w:ascii="Times New Roman" w:hAnsi="Times New Roman" w:eastAsia="方正小标宋_GBK" w:cs="Times New Roman"/>
          <w:b w:val="0"/>
          <w:bCs w:val="0"/>
          <w:color w:val="auto"/>
          <w:sz w:val="44"/>
          <w:szCs w:val="44"/>
          <w:highlight w:val="none"/>
          <w:lang w:val="en-US" w:eastAsia="zh-CN"/>
        </w:rPr>
      </w:pPr>
    </w:p>
    <w:p>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pPr>
        <w:pStyle w:val="2"/>
        <w:shd w:val="clear"/>
        <w:rPr>
          <w:rFonts w:hint="default" w:ascii="Times New Roman" w:hAnsi="Times New Roman" w:eastAsia="仿宋" w:cs="Times New Roman"/>
          <w:caps w:val="0"/>
          <w:color w:val="auto"/>
          <w:sz w:val="32"/>
          <w:szCs w:val="32"/>
          <w:highlight w:val="none"/>
          <w:u w:val="single"/>
        </w:rPr>
      </w:pPr>
    </w:p>
    <w:p>
      <w:pPr>
        <w:shd w:val="clear"/>
        <w:rPr>
          <w:rFonts w:hint="default" w:ascii="Times New Roman" w:hAnsi="Times New Roman" w:cs="Times New Roman"/>
          <w:color w:val="auto"/>
          <w:highlight w:val="none"/>
        </w:rPr>
      </w:pPr>
    </w:p>
    <w:p>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472"/>
      <w:bookmarkStart w:id="7" w:name="_Toc26851_WPSOffice_Level1"/>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12"/>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pPr>
        <w:widowControl w:val="0"/>
        <w:numPr>
          <w:ilvl w:val="0"/>
          <w:numId w:val="0"/>
        </w:numPr>
        <w:spacing w:line="240" w:lineRule="auto"/>
        <w:jc w:val="both"/>
        <w:rPr>
          <w:rFonts w:hint="default"/>
          <w:color w:val="auto"/>
          <w:lang w:eastAsia="zh-CN"/>
        </w:rPr>
      </w:pPr>
    </w:p>
    <w:p>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pPr>
        <w:numPr>
          <w:ilvl w:val="0"/>
          <w:numId w:val="0"/>
        </w:numPr>
        <w:shd w:val="clear"/>
        <w:jc w:val="left"/>
        <w:rPr>
          <w:rFonts w:hint="default" w:ascii="Times New Roman" w:hAnsi="Times New Roman" w:cs="Times New Roman"/>
          <w:b/>
          <w:bCs/>
          <w:color w:val="auto"/>
          <w:sz w:val="28"/>
          <w:szCs w:val="36"/>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pPr>
        <w:numPr>
          <w:ilvl w:val="0"/>
          <w:numId w:val="7"/>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pPr>
        <w:pStyle w:val="6"/>
        <w:ind w:left="0" w:leftChars="0" w:firstLine="0" w:firstLineChars="0"/>
        <w:rPr>
          <w:rFonts w:hint="eastAsia"/>
          <w:color w:val="auto"/>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pPr>
        <w:pStyle w:val="3"/>
        <w:rPr>
          <w:rFonts w:hint="eastAsia"/>
          <w:color w:val="auto"/>
          <w:lang w:val="en-US" w:eastAsia="zh-CN"/>
        </w:rPr>
      </w:pPr>
    </w:p>
    <w:p>
      <w:pPr>
        <w:tabs>
          <w:tab w:val="left" w:pos="720"/>
          <w:tab w:val="left" w:pos="900"/>
        </w:tabs>
        <w:spacing w:line="500" w:lineRule="exact"/>
        <w:rPr>
          <w:rFonts w:hint="eastAsia" w:ascii="Times New Roman" w:hAnsi="宋体" w:eastAsia="宋体" w:cs="Times New Roman"/>
          <w:snapToGrid/>
          <w:color w:val="auto"/>
          <w:spacing w:val="0"/>
          <w:kern w:val="0"/>
          <w:sz w:val="24"/>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3"/>
        <w:rPr>
          <w:rFonts w:hint="default"/>
          <w:color w:val="auto"/>
          <w:lang w:val="en-US" w:eastAsia="zh-CN"/>
        </w:rPr>
      </w:pPr>
    </w:p>
    <w:p>
      <w:pPr>
        <w:numPr>
          <w:ilvl w:val="0"/>
          <w:numId w:val="8"/>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shd w:val="clear"/>
        <w:rPr>
          <w:rFonts w:hint="default" w:ascii="Times New Roman" w:hAnsi="Times New Roman" w:eastAsia="仿宋" w:cs="Times New Roman"/>
          <w:b/>
          <w:color w:val="auto"/>
          <w:sz w:val="32"/>
          <w:szCs w:val="32"/>
          <w:highlight w:val="none"/>
        </w:rPr>
      </w:pPr>
      <w:bookmarkStart w:id="21" w:name="_Toc14552"/>
      <w:bookmarkStart w:id="22" w:name="_Toc1891"/>
      <w:bookmarkStart w:id="23" w:name="_Toc7312"/>
      <w:r>
        <w:rPr>
          <w:rFonts w:hint="default" w:ascii="Times New Roman" w:hAnsi="Times New Roman" w:eastAsia="仿宋" w:cs="Times New Roman"/>
          <w:b/>
          <w:color w:val="auto"/>
          <w:sz w:val="32"/>
          <w:szCs w:val="32"/>
          <w:highlight w:val="none"/>
        </w:rPr>
        <w:br w:type="page"/>
      </w:r>
    </w:p>
    <w:p>
      <w:pPr>
        <w:numPr>
          <w:ilvl w:val="0"/>
          <w:numId w:val="8"/>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8"/>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pPr>
        <w:pStyle w:val="6"/>
        <w:shd w:val="clear"/>
        <w:rPr>
          <w:rFonts w:hint="default" w:ascii="Times New Roman" w:hAnsi="Times New Roman" w:cs="Times New Roman"/>
          <w:color w:val="auto"/>
          <w:highlight w:val="none"/>
          <w:lang w:val="en-US" w:eastAsia="zh-CN"/>
        </w:rPr>
      </w:pP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pPr>
        <w:pageBreakBefore w:val="0"/>
        <w:numPr>
          <w:ilvl w:val="0"/>
          <w:numId w:val="9"/>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pageBreakBefore w:val="0"/>
        <w:numPr>
          <w:ilvl w:val="0"/>
          <w:numId w:val="9"/>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ageBreakBefore w:val="0"/>
        <w:numPr>
          <w:ilvl w:val="0"/>
          <w:numId w:val="9"/>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投标人若为制造商，须提供医疗器械生产许可/备案证（制造商工商注册地在中华人民共和国境外的，不作此要求）、所投产品的医疗器械注册证及附件。</w:t>
      </w:r>
    </w:p>
    <w:p>
      <w:pPr>
        <w:pageBreakBefore w:val="0"/>
        <w:numPr>
          <w:ilvl w:val="0"/>
          <w:numId w:val="9"/>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健全的财务会计制度：提供2021年-2023年任意年度的财务报告及财务报表（包括资产负债表、现金流量表和利润表），如果是2024年新成立的企业提供开户银行出具的资信证明或存款证明（加盖公章）（加盖公章）。</w:t>
      </w:r>
    </w:p>
    <w:p>
      <w:pPr>
        <w:pageBreakBefore w:val="0"/>
        <w:numPr>
          <w:ilvl w:val="0"/>
          <w:numId w:val="9"/>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有依法缴纳税收和社会保障资金的良好记录，提供2023年01月至今任意三个月的依法缴法纳税收和社保的完税凭证。新注册成立不足三个月的企业，应当提供书面情况说明（加盖公章）。</w:t>
      </w:r>
    </w:p>
    <w:p>
      <w:pPr>
        <w:pageBreakBefore w:val="0"/>
        <w:numPr>
          <w:ilvl w:val="0"/>
          <w:numId w:val="9"/>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shd w:val="clear"/>
        <w:rPr>
          <w:rFonts w:hint="default" w:ascii="Times New Roman" w:hAnsi="Times New Roman" w:eastAsia="宋体" w:cs="Times New Roman"/>
          <w:color w:val="auto"/>
          <w:highlight w:val="none"/>
          <w:lang w:eastAsia="zh-CN"/>
        </w:rPr>
      </w:pPr>
    </w:p>
    <w:p>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pPr>
        <w:shd w:val="clear"/>
        <w:spacing w:before="101"/>
        <w:rPr>
          <w:color w:val="auto"/>
          <w:highlight w:val="none"/>
        </w:rPr>
      </w:pPr>
    </w:p>
    <w:tbl>
      <w:tblPr>
        <w:tblStyle w:val="31"/>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pPr>
        <w:shd w:val="clear"/>
        <w:spacing w:line="49" w:lineRule="exact"/>
        <w:rPr>
          <w:color w:val="auto"/>
          <w:highlight w:val="none"/>
        </w:rPr>
      </w:pPr>
    </w:p>
    <w:p>
      <w:pPr>
        <w:shd w:val="clear"/>
        <w:spacing w:line="374" w:lineRule="auto"/>
        <w:rPr>
          <w:rFonts w:ascii="Arial"/>
          <w:color w:val="auto"/>
          <w:sz w:val="21"/>
          <w:highlight w:val="none"/>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pPr>
        <w:pStyle w:val="6"/>
        <w:shd w:val="clear"/>
        <w:spacing w:before="145" w:line="228" w:lineRule="auto"/>
        <w:ind w:left="0" w:leftChars="0" w:firstLine="0" w:firstLineChars="0"/>
        <w:rPr>
          <w:b/>
          <w:bCs/>
          <w:color w:val="auto"/>
          <w:spacing w:val="5"/>
          <w:highlight w:val="none"/>
        </w:rPr>
      </w:pPr>
    </w:p>
    <w:p>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pPr>
        <w:pStyle w:val="6"/>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pPr>
        <w:pStyle w:val="6"/>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售后服务保障（格式自拟，加盖公章）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）质量承诺及保证措施（格式自拟，加盖公章）</w:t>
      </w:r>
    </w:p>
    <w:p>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pPr>
        <w:pStyle w:val="6"/>
        <w:shd w:val="clear"/>
        <w:rPr>
          <w:rFonts w:hint="default" w:ascii="Times New Roman" w:hAnsi="Times New Roman" w:cs="Times New Roman"/>
          <w:color w:val="auto"/>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3">
    <w:nsid w:val="BB68928A"/>
    <w:multiLevelType w:val="singleLevel"/>
    <w:tmpl w:val="BB68928A"/>
    <w:lvl w:ilvl="0" w:tentative="0">
      <w:start w:val="2"/>
      <w:numFmt w:val="chineseCounting"/>
      <w:suff w:val="nothing"/>
      <w:lvlText w:val="（%1）"/>
      <w:lvlJc w:val="left"/>
      <w:rPr>
        <w:rFonts w:hint="eastAsia"/>
      </w:rPr>
    </w:lvl>
  </w:abstractNum>
  <w:abstractNum w:abstractNumId="4">
    <w:nsid w:val="D3F50BE3"/>
    <w:multiLevelType w:val="singleLevel"/>
    <w:tmpl w:val="D3F50BE3"/>
    <w:lvl w:ilvl="0" w:tentative="0">
      <w:start w:val="1"/>
      <w:numFmt w:val="decimal"/>
      <w:suff w:val="nothing"/>
      <w:lvlText w:val="%1．"/>
      <w:lvlJc w:val="left"/>
      <w:pPr>
        <w:ind w:left="0" w:firstLine="400"/>
      </w:pPr>
      <w:rPr>
        <w:rFonts w:hint="default"/>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044DADFE"/>
    <w:multiLevelType w:val="singleLevel"/>
    <w:tmpl w:val="044DADFE"/>
    <w:lvl w:ilvl="0" w:tentative="0">
      <w:start w:val="1"/>
      <w:numFmt w:val="decimal"/>
      <w:lvlText w:val="%1)"/>
      <w:lvlJc w:val="left"/>
      <w:pPr>
        <w:ind w:left="425" w:hanging="425"/>
      </w:pPr>
      <w:rPr>
        <w:rFonts w:hint="default"/>
      </w:rPr>
    </w:lvl>
  </w:abstractNum>
  <w:abstractNum w:abstractNumId="7">
    <w:nsid w:val="3386CA13"/>
    <w:multiLevelType w:val="singleLevel"/>
    <w:tmpl w:val="3386CA13"/>
    <w:lvl w:ilvl="0" w:tentative="0">
      <w:start w:val="1"/>
      <w:numFmt w:val="decimal"/>
      <w:lvlText w:val="%1."/>
      <w:lvlJc w:val="left"/>
      <w:pPr>
        <w:ind w:left="425" w:hanging="425"/>
      </w:pPr>
      <w:rPr>
        <w:rFonts w:hint="default"/>
      </w:rPr>
    </w:lvl>
  </w:abstractNum>
  <w:abstractNum w:abstractNumId="8">
    <w:nsid w:val="54046F1D"/>
    <w:multiLevelType w:val="singleLevel"/>
    <w:tmpl w:val="54046F1D"/>
    <w:lvl w:ilvl="0" w:tentative="0">
      <w:start w:val="2"/>
      <w:numFmt w:val="chineseCounting"/>
      <w:suff w:val="space"/>
      <w:lvlText w:val="第%1章"/>
      <w:lvlJc w:val="left"/>
      <w:rPr>
        <w:rFonts w:hint="eastAsia"/>
      </w:rPr>
    </w:lvl>
  </w:abstractNum>
  <w:abstractNum w:abstractNumId="9">
    <w:nsid w:val="682BC52D"/>
    <w:multiLevelType w:val="singleLevel"/>
    <w:tmpl w:val="682BC52D"/>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8"/>
  </w:num>
  <w:num w:numId="3">
    <w:abstractNumId w:val="7"/>
  </w:num>
  <w:num w:numId="4">
    <w:abstractNumId w:val="9"/>
  </w:num>
  <w:num w:numId="5">
    <w:abstractNumId w:val="6"/>
  </w:num>
  <w:num w:numId="6">
    <w:abstractNumId w:val="1"/>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EB50EFB"/>
    <w:rsid w:val="13C03C4E"/>
    <w:rsid w:val="15B461B2"/>
    <w:rsid w:val="15EC5330"/>
    <w:rsid w:val="16921052"/>
    <w:rsid w:val="178C5400"/>
    <w:rsid w:val="1A4B1C44"/>
    <w:rsid w:val="1B1326B5"/>
    <w:rsid w:val="1B7C7A72"/>
    <w:rsid w:val="1E7554E1"/>
    <w:rsid w:val="1ECD654A"/>
    <w:rsid w:val="21F65CBD"/>
    <w:rsid w:val="22CF498A"/>
    <w:rsid w:val="23C431BC"/>
    <w:rsid w:val="23ED21CC"/>
    <w:rsid w:val="245E07C6"/>
    <w:rsid w:val="246E3C7D"/>
    <w:rsid w:val="2560405C"/>
    <w:rsid w:val="257C39E3"/>
    <w:rsid w:val="27747F46"/>
    <w:rsid w:val="2F283EAA"/>
    <w:rsid w:val="2F4018D1"/>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72022EE"/>
    <w:rsid w:val="68923A44"/>
    <w:rsid w:val="68B150E0"/>
    <w:rsid w:val="6C3519E0"/>
    <w:rsid w:val="6C4D6ED7"/>
    <w:rsid w:val="6CC87287"/>
    <w:rsid w:val="7099764F"/>
    <w:rsid w:val="71792783"/>
    <w:rsid w:val="71DD3C39"/>
    <w:rsid w:val="723865C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autoRedefine/>
    <w:qFormat/>
    <w:uiPriority w:val="99"/>
    <w:pPr>
      <w:keepNext/>
      <w:keepLines/>
      <w:spacing w:line="360" w:lineRule="auto"/>
      <w:outlineLvl w:val="0"/>
    </w:pPr>
    <w:rPr>
      <w:b/>
      <w:bCs/>
      <w:kern w:val="44"/>
      <w:sz w:val="32"/>
      <w:szCs w:val="44"/>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4700</Words>
  <Characters>5426</Characters>
  <Lines>15</Lines>
  <Paragraphs>4</Paragraphs>
  <TotalTime>1</TotalTime>
  <ScaleCrop>false</ScaleCrop>
  <LinksUpToDate>false</LinksUpToDate>
  <CharactersWithSpaces>6061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2024-06-18T01:21:13Z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75E8011CC54B46E7AE32CC19040E908B</vt:lpwstr>
  </property>
</Properties>
</file>