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Style w:val="15"/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  <w:r>
        <w:rPr>
          <w:rStyle w:val="15"/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</w:rPr>
        <w:t>泸西县中医医院全院紧急配置新冠</w:t>
      </w:r>
      <w:r>
        <w:rPr>
          <w:rStyle w:val="15"/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val="en-US" w:eastAsia="zh-CN"/>
        </w:rPr>
        <w:t>疫情急救抢救</w:t>
      </w:r>
      <w:r>
        <w:rPr>
          <w:rStyle w:val="15"/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</w:rPr>
        <w:t>相关设备采购项目</w:t>
      </w:r>
    </w:p>
    <w:p>
      <w:pPr>
        <w:pStyle w:val="2"/>
        <w:shd w:val="clea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3"/>
        <w:shd w:val="clear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项目编号：lxxzyyy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sb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-2022-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0032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pStyle w:val="2"/>
        <w:shd w:val="clear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shd w:val="clear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shd w:val="clea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Style w:val="15"/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  <w:r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  <w:t>第一章</w:t>
      </w:r>
      <w:bookmarkStart w:id="5" w:name="_GoBack"/>
      <w:r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val="en-US" w:eastAsia="zh-CN"/>
        </w:rPr>
        <w:t xml:space="preserve">  </w:t>
      </w:r>
      <w:r>
        <w:rPr>
          <w:rStyle w:val="15"/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</w:rPr>
        <w:t>泸西县中医医院全院紧急配置新冠</w:t>
      </w:r>
      <w:r>
        <w:rPr>
          <w:rStyle w:val="15"/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val="en-US" w:eastAsia="zh-CN"/>
        </w:rPr>
        <w:t>疫情急救抢救</w:t>
      </w:r>
      <w:r>
        <w:rPr>
          <w:rStyle w:val="15"/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</w:rPr>
        <w:t>相关设备采购项目</w:t>
      </w:r>
      <w:r>
        <w:rPr>
          <w:rStyle w:val="15"/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val="en-US" w:eastAsia="zh-CN"/>
        </w:rPr>
        <w:t>公告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一、项目基本情况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900" w:right="0" w:firstLine="0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项目编号：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lxxzyyy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sb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-2022-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0032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2449" w:leftChars="428" w:right="0" w:hanging="1550" w:hangingChars="5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项目名称：泸西县中医医院全院紧急配置新冠疫情急救抢救相关设备采购项目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900" w:right="0" w:firstLine="0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采购需求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心电监护仪60台；经鼻高流量给氧机10台；呼吸机6台；床旁快检设备1台；凝血检测设备1台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。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(注：本次采购设备未规定相关规格及技术参数，不要求供应商对以上所有设备进行报价，可根据自身情况选择报价，但要求所报产品为现有存货，且能</w:t>
      </w:r>
      <w:r>
        <w:rPr>
          <w:rFonts w:hint="eastAsia" w:eastAsia="方正仿宋_GBK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按时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完成供货。）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90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合同履行期限：自合同签订之日起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7日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内完成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二、申请人的资格要求：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90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1.满足《中华人民共和国政府采购法》第二十二条规定；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90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2.落实政府采购政策需满足的资格要求：节约能源、保护环境、扶持不发达地区和少数民族地区、促进中小企业发展等政府采购政策。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900" w:right="0" w:firstLine="0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3.本项目的特定资格要求：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营业执照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；（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医疗器械经营许可证；（3）所投产品的医疗器械注册证及附件；（4）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生产厂家资质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90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本项目不接受联合体投标，以上资格条件必须同时具备。</w:t>
      </w:r>
    </w:p>
    <w:p>
      <w:pPr>
        <w:widowControl/>
        <w:shd w:val="clear"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i w:val="0"/>
          <w:iCs w:val="0"/>
          <w:caps w:val="0"/>
          <w:snapToGrid/>
          <w:color w:val="333333"/>
          <w:spacing w:val="0"/>
          <w:kern w:val="0"/>
          <w:sz w:val="31"/>
          <w:szCs w:val="31"/>
          <w:highlight w:val="none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snapToGrid/>
          <w:color w:val="333333"/>
          <w:spacing w:val="0"/>
          <w:kern w:val="0"/>
          <w:sz w:val="31"/>
          <w:szCs w:val="31"/>
          <w:highlight w:val="none"/>
          <w:shd w:val="clear" w:fill="FFFFFF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napToGrid/>
          <w:color w:val="333333"/>
          <w:spacing w:val="0"/>
          <w:kern w:val="0"/>
          <w:sz w:val="31"/>
          <w:szCs w:val="31"/>
          <w:highlight w:val="none"/>
          <w:shd w:val="clear" w:fill="FFFFFF"/>
          <w:lang w:val="en-US" w:eastAsia="zh-CN" w:bidi="ar-SA"/>
        </w:rPr>
        <w:t>、提交响应文件截止时间及方式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0" w:name="_Toc20789"/>
      <w:bookmarkEnd w:id="0"/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响应文件递交截止时间及开标会议时间：2022年12月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30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日下午14时30分；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响应文件递交地点：泸西县中医医院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四楼党员活动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firstLine="640" w:firstLineChars="200"/>
        <w:jc w:val="left"/>
        <w:textAlignment w:val="auto"/>
        <w:outlineLvl w:val="1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递交密封完好的响应文件（一份）时必须提交①法定代表人身份证明书原件；②法定代表人授权委托书原件；③法定代表人（或被授权人）的身份证原件（验后即退）逾期送达或者未送达指定地点的响应文件，采购人不予受理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snapToGrid/>
          <w:color w:val="333333"/>
          <w:spacing w:val="0"/>
          <w:kern w:val="0"/>
          <w:sz w:val="31"/>
          <w:szCs w:val="31"/>
          <w:highlight w:val="none"/>
          <w:shd w:val="clear" w:fill="FFFFFF"/>
          <w:lang w:val="en-US" w:eastAsia="zh-CN" w:bidi="ar-SA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napToGrid/>
          <w:color w:val="333333"/>
          <w:spacing w:val="0"/>
          <w:kern w:val="0"/>
          <w:sz w:val="31"/>
          <w:szCs w:val="31"/>
          <w:highlight w:val="none"/>
          <w:shd w:val="clear" w:fill="FFFFFF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其他补充事宜</w:t>
      </w:r>
    </w:p>
    <w:p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840" w:leftChars="0" w:right="0" w:firstLine="0" w:firstLineChars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本次采购公告在泸西县中医医院官网（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instrText xml:space="preserve"> HYPERLINK "http://www.lxxzyyy.com/xinwenzhongxin/zbcg/"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http://www.lxxzyyy.com/xinwenzhongxin/zbcg/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）上发布。</w:t>
      </w:r>
    </w:p>
    <w:p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840" w:leftChars="0" w:right="0" w:firstLine="0" w:firstLineChars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本次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询价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采用线下方式进行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共两次报价，提交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响应文件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提交第一次报价，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资格审查通过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填报第二次报价。</w:t>
      </w:r>
    </w:p>
    <w:p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840" w:leftChars="0" w:right="0" w:firstLine="0" w:firstLineChars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本次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询价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将由我院组织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询价小组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进行评审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：（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1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）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本院已有设备作为参考优先考虑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；（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）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价格适中；（3）结合临床专家使用习惯优先考虑；（4）以现货数量多优先考虑；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最终确定供应商，签订供货合同。</w:t>
      </w:r>
    </w:p>
    <w:p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840" w:leftChars="0" w:right="0" w:firstLine="0" w:firstLineChars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报名家数≥1家，正常进行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询价。</w:t>
      </w:r>
    </w:p>
    <w:p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840" w:leftChars="0" w:right="0" w:firstLine="0" w:firstLineChars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</w:pP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本项目不做整体打包，以现货多少为主，可签订多家供货单位，特殊情况根据临床专家需求可放宽条件。</w:t>
      </w:r>
    </w:p>
    <w:p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840" w:leftChars="0" w:right="0" w:firstLine="0" w:firstLineChars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</w:pP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若有现货，响应文件因特殊原因无法按时提交原件，可提供盖章的扫描件并打印提交。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snapToGrid/>
          <w:color w:val="333333"/>
          <w:spacing w:val="0"/>
          <w:kern w:val="0"/>
          <w:sz w:val="31"/>
          <w:szCs w:val="31"/>
          <w:highlight w:val="none"/>
          <w:shd w:val="clear" w:fill="FFFFFF"/>
          <w:lang w:val="en-US" w:eastAsia="zh-CN" w:bidi="ar-SA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napToGrid/>
          <w:color w:val="333333"/>
          <w:spacing w:val="0"/>
          <w:kern w:val="0"/>
          <w:sz w:val="31"/>
          <w:szCs w:val="31"/>
          <w:highlight w:val="none"/>
          <w:shd w:val="clear" w:fill="FFFFFF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对本次采购提出询问，请按以下方式联系。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90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采购人信息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90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名 称：泸西县中医医院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90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地址：泸西县中枢镇文秀路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90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0873-6621879</w:t>
      </w:r>
    </w:p>
    <w:bookmarkEnd w:id="5"/>
    <w:p>
      <w:pPr>
        <w:widowControl/>
        <w:numPr>
          <w:ilvl w:val="0"/>
          <w:numId w:val="0"/>
        </w:numPr>
        <w:shd w:val="clear"/>
        <w:spacing w:before="100" w:beforeAutospacing="1" w:after="100" w:afterAutospacing="1" w:line="480" w:lineRule="atLeast"/>
        <w:jc w:val="center"/>
        <w:outlineLvl w:val="1"/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</w:p>
    <w:p>
      <w:pPr>
        <w:widowControl/>
        <w:numPr>
          <w:ilvl w:val="0"/>
          <w:numId w:val="0"/>
        </w:numPr>
        <w:shd w:val="clear"/>
        <w:spacing w:before="100" w:beforeAutospacing="1" w:after="100" w:afterAutospacing="1" w:line="480" w:lineRule="atLeast"/>
        <w:jc w:val="center"/>
        <w:outlineLvl w:val="1"/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</w:p>
    <w:p>
      <w:pPr>
        <w:widowControl/>
        <w:numPr>
          <w:ilvl w:val="0"/>
          <w:numId w:val="0"/>
        </w:numPr>
        <w:shd w:val="clear"/>
        <w:spacing w:before="100" w:beforeAutospacing="1" w:after="100" w:afterAutospacing="1" w:line="480" w:lineRule="atLeast"/>
        <w:jc w:val="center"/>
        <w:outlineLvl w:val="1"/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</w:p>
    <w:p>
      <w:pPr>
        <w:widowControl/>
        <w:numPr>
          <w:ilvl w:val="0"/>
          <w:numId w:val="0"/>
        </w:numPr>
        <w:shd w:val="clear"/>
        <w:spacing w:before="100" w:beforeAutospacing="1" w:after="100" w:afterAutospacing="1" w:line="480" w:lineRule="atLeast"/>
        <w:jc w:val="center"/>
        <w:outlineLvl w:val="1"/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</w:p>
    <w:p>
      <w:pPr>
        <w:widowControl/>
        <w:numPr>
          <w:ilvl w:val="0"/>
          <w:numId w:val="0"/>
        </w:numPr>
        <w:shd w:val="clear"/>
        <w:spacing w:before="100" w:beforeAutospacing="1" w:after="100" w:afterAutospacing="1" w:line="480" w:lineRule="atLeast"/>
        <w:jc w:val="center"/>
        <w:outlineLvl w:val="1"/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</w:p>
    <w:p>
      <w:pPr>
        <w:pStyle w:val="2"/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</w:p>
    <w:p>
      <w:pPr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</w:p>
    <w:p>
      <w:pPr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/>
        <w:numPr>
          <w:ilvl w:val="0"/>
          <w:numId w:val="0"/>
        </w:numPr>
        <w:shd w:val="clear"/>
        <w:spacing w:before="100" w:beforeAutospacing="1" w:after="100" w:afterAutospacing="1" w:line="480" w:lineRule="atLeast"/>
        <w:jc w:val="center"/>
        <w:outlineLvl w:val="1"/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</w:p>
    <w:p>
      <w:pPr>
        <w:pStyle w:val="2"/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</w:p>
    <w:p>
      <w:pPr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/>
        <w:numPr>
          <w:ilvl w:val="0"/>
          <w:numId w:val="0"/>
        </w:numPr>
        <w:shd w:val="clear"/>
        <w:spacing w:before="100" w:beforeAutospacing="1" w:after="100" w:afterAutospacing="1" w:line="480" w:lineRule="atLeast"/>
        <w:jc w:val="center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/>
        </w:rPr>
      </w:pPr>
      <w:r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  <w:t>第二章</w:t>
      </w:r>
      <w:r>
        <w:rPr>
          <w:rStyle w:val="15"/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val="en-US" w:eastAsia="zh-CN"/>
        </w:rPr>
        <w:t xml:space="preserve">  </w:t>
      </w:r>
      <w:r>
        <w:rPr>
          <w:rStyle w:val="15"/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lang w:eastAsia="zh-CN"/>
        </w:rPr>
        <w:t>响应文件格式</w:t>
      </w:r>
    </w:p>
    <w:p>
      <w:pPr>
        <w:pStyle w:val="11"/>
        <w:shd w:val="clear"/>
        <w:jc w:val="center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（一）报价表</w:t>
      </w:r>
    </w:p>
    <w:tbl>
      <w:tblPr>
        <w:tblStyle w:val="12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7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7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投标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报价</w:t>
            </w:r>
          </w:p>
        </w:tc>
        <w:tc>
          <w:tcPr>
            <w:tcW w:w="7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产品名称：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金额：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元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大写：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产品名称：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金额：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元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大写：</w:t>
            </w:r>
          </w:p>
          <w:p>
            <w:pPr>
              <w:pStyle w:val="2"/>
              <w:numPr>
                <w:ilvl w:val="0"/>
                <w:numId w:val="0"/>
              </w:numPr>
              <w:shd w:val="clea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.......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(根据自身现货情况分项报价）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合同履行期限</w:t>
            </w:r>
          </w:p>
        </w:tc>
        <w:tc>
          <w:tcPr>
            <w:tcW w:w="7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自合同签订之日起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__日内完成</w:t>
            </w:r>
          </w:p>
        </w:tc>
      </w:tr>
    </w:tbl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1"/>
        <w:shd w:val="clear"/>
        <w:ind w:firstLine="4480" w:firstLineChars="1400"/>
        <w:jc w:val="both"/>
        <w:rPr>
          <w:rFonts w:hint="default" w:ascii="Times New Roman" w:hAnsi="Times New Roman" w:eastAsia="仿宋" w:cs="Times New Roman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1"/>
        <w:shd w:val="clear"/>
        <w:jc w:val="righ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4"/>
        </w:numPr>
        <w:shd w:val="clear"/>
        <w:jc w:val="left"/>
        <w:rPr>
          <w:rFonts w:hint="default" w:ascii="Times New Roman" w:hAnsi="Times New Roman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highlight w:val="none"/>
        </w:rPr>
        <w:br w:type="page"/>
      </w:r>
    </w:p>
    <w:p>
      <w:pPr>
        <w:numPr>
          <w:ilvl w:val="0"/>
          <w:numId w:val="5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1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法定代表人身份证明书</w:t>
      </w:r>
      <w:bookmarkEnd w:id="1"/>
    </w:p>
    <w:p>
      <w:pPr>
        <w:pageBreakBefore w:val="0"/>
        <w:numPr>
          <w:ilvl w:val="0"/>
          <w:numId w:val="0"/>
        </w:numPr>
        <w:shd w:val="clear" w:color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shd w:val="clea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2" w:name="_Toc14552"/>
      <w:bookmarkStart w:id="3" w:name="_Toc7312"/>
      <w:bookmarkStart w:id="4" w:name="_Toc1891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5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授权委托书</w:t>
      </w:r>
      <w:bookmarkEnd w:id="2"/>
      <w:bookmarkEnd w:id="3"/>
      <w:bookmarkEnd w:id="4"/>
    </w:p>
    <w:p>
      <w:pPr>
        <w:pageBreakBefore w:val="0"/>
        <w:shd w:val="clear" w:color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5"/>
        </w:numPr>
        <w:shd w:val="clea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br w:type="page"/>
      </w:r>
    </w:p>
    <w:p>
      <w:pPr>
        <w:numPr>
          <w:ilvl w:val="0"/>
          <w:numId w:val="0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四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）申请人基本情况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附：（1）营业执照；（2）医疗器械经营许可证；（3）所投产品的医疗器械注册证及附件；（4）生产厂家资质。（复印件加盖公章）</w:t>
      </w:r>
    </w:p>
    <w:p>
      <w:pPr>
        <w:shd w:val="clear"/>
        <w:rPr>
          <w:rFonts w:hint="default" w:ascii="Times New Roman" w:hAnsi="Times New Roman" w:eastAsia="宋体" w:cs="Times New Roman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highlight w:val="none"/>
        </w:rPr>
        <w:br w:type="page"/>
      </w:r>
    </w:p>
    <w:p>
      <w:pPr>
        <w:numPr>
          <w:ilvl w:val="0"/>
          <w:numId w:val="0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）供货方案及承诺（格式自拟，加盖公章）</w:t>
      </w:r>
    </w:p>
    <w:p>
      <w:pPr>
        <w:shd w:val="clear"/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highlight w:val="none"/>
          <w:lang w:eastAsia="zh-CN"/>
        </w:rPr>
        <w:br w:type="page"/>
      </w:r>
    </w:p>
    <w:p>
      <w:pPr>
        <w:numPr>
          <w:ilvl w:val="0"/>
          <w:numId w:val="0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六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）所投产品相关资料（格式自拟）</w:t>
      </w:r>
    </w:p>
    <w:p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附：产品相关资料（复印件加盖鲜章）</w:t>
      </w:r>
    </w:p>
    <w:p>
      <w:pPr>
        <w:shd w:val="clea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3E69F3"/>
    <w:multiLevelType w:val="singleLevel"/>
    <w:tmpl w:val="A83E69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CD101A2"/>
    <w:multiLevelType w:val="singleLevel"/>
    <w:tmpl w:val="DCD101A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  <w:sz w:val="32"/>
        <w:szCs w:val="32"/>
      </w:rPr>
    </w:lvl>
  </w:abstractNum>
  <w:abstractNum w:abstractNumId="4">
    <w:nsid w:val="2F878578"/>
    <w:multiLevelType w:val="singleLevel"/>
    <w:tmpl w:val="2F87857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OGJmMWI4M2M4YjhiNmQyZDlmMTljODI3NmExN2YifQ=="/>
    <w:docVar w:name="KSO_WPS_MARK_KEY" w:val="a3be0a15-e3aa-4069-9c06-ceafc5628404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033385"/>
    <w:rsid w:val="042F2713"/>
    <w:rsid w:val="082961A3"/>
    <w:rsid w:val="0B2F18D2"/>
    <w:rsid w:val="0EB50EFB"/>
    <w:rsid w:val="0F706100"/>
    <w:rsid w:val="13C03C4E"/>
    <w:rsid w:val="15B461B2"/>
    <w:rsid w:val="1B7C7A72"/>
    <w:rsid w:val="1ECD654A"/>
    <w:rsid w:val="22CF498A"/>
    <w:rsid w:val="23C431BC"/>
    <w:rsid w:val="23ED21CC"/>
    <w:rsid w:val="246E3C7D"/>
    <w:rsid w:val="257C39E3"/>
    <w:rsid w:val="2D425788"/>
    <w:rsid w:val="2FE226AA"/>
    <w:rsid w:val="30BB1C89"/>
    <w:rsid w:val="31C91C30"/>
    <w:rsid w:val="31CA0963"/>
    <w:rsid w:val="34AE304E"/>
    <w:rsid w:val="360A3943"/>
    <w:rsid w:val="36A739D9"/>
    <w:rsid w:val="39656009"/>
    <w:rsid w:val="396D7D21"/>
    <w:rsid w:val="3AE256C4"/>
    <w:rsid w:val="3EEB2915"/>
    <w:rsid w:val="452A2CC3"/>
    <w:rsid w:val="459F044F"/>
    <w:rsid w:val="468F50F1"/>
    <w:rsid w:val="4867290A"/>
    <w:rsid w:val="4CF7562B"/>
    <w:rsid w:val="532D28BB"/>
    <w:rsid w:val="57BE3C26"/>
    <w:rsid w:val="57C03DCA"/>
    <w:rsid w:val="5AD631F0"/>
    <w:rsid w:val="5C352B85"/>
    <w:rsid w:val="62682234"/>
    <w:rsid w:val="638340AD"/>
    <w:rsid w:val="63C10DFE"/>
    <w:rsid w:val="64A96C15"/>
    <w:rsid w:val="65153872"/>
    <w:rsid w:val="66902E77"/>
    <w:rsid w:val="672022EE"/>
    <w:rsid w:val="6C3519E0"/>
    <w:rsid w:val="6C4D6ED7"/>
    <w:rsid w:val="6CC87287"/>
    <w:rsid w:val="7A4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99"/>
    <w:pPr>
      <w:ind w:firstLine="420" w:firstLineChars="2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333333"/>
      <w:u w:val="none"/>
    </w:rPr>
  </w:style>
  <w:style w:type="character" w:customStyle="1" w:styleId="17">
    <w:name w:val="标题 1 Char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4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19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2">
    <w:name w:val="文档结构图 Char"/>
    <w:basedOn w:val="14"/>
    <w:link w:val="5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1456</Words>
  <Characters>1565</Characters>
  <Lines>15</Lines>
  <Paragraphs>4</Paragraphs>
  <TotalTime>24</TotalTime>
  <ScaleCrop>false</ScaleCrop>
  <LinksUpToDate>false</LinksUpToDate>
  <CharactersWithSpaces>1995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杨梁</cp:lastModifiedBy>
  <dcterms:modified xsi:type="dcterms:W3CDTF">2022-12-28T10:09:15Z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33E81DB613184F719656E6702F011E85</vt:lpwstr>
  </property>
</Properties>
</file>